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1D90" w14:textId="77777777" w:rsidR="00E42D9F" w:rsidRPr="00DB6EB1" w:rsidRDefault="00E42D9F" w:rsidP="0047201D">
      <w:pPr>
        <w:spacing w:after="0" w:line="240" w:lineRule="auto"/>
        <w:ind w:right="-51"/>
        <w:jc w:val="both"/>
        <w:rPr>
          <w:rFonts w:eastAsia="Arial" w:cs="Arial"/>
          <w:color w:val="231F20"/>
          <w:spacing w:val="2"/>
        </w:rPr>
      </w:pPr>
      <w:r w:rsidRPr="00DB6EB1">
        <w:rPr>
          <w:rFonts w:eastAsia="Arial" w:cs="Arial"/>
          <w:color w:val="231F20"/>
          <w:spacing w:val="2"/>
        </w:rPr>
        <w:t>Best</w:t>
      </w:r>
      <w:r w:rsidRPr="00DB6EB1">
        <w:rPr>
          <w:rFonts w:eastAsia="Arial" w:cs="Arial"/>
          <w:color w:val="231F20"/>
          <w:spacing w:val="1"/>
        </w:rPr>
        <w:t>a</w:t>
      </w:r>
      <w:r w:rsidRPr="00DB6EB1">
        <w:rPr>
          <w:rFonts w:eastAsia="Arial" w:cs="Arial"/>
          <w:color w:val="231F20"/>
          <w:spacing w:val="2"/>
        </w:rPr>
        <w:t>ndt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  <w:spacing w:val="2"/>
        </w:rPr>
        <w:t>i</w:t>
      </w:r>
      <w:r w:rsidRPr="00DB6EB1">
        <w:rPr>
          <w:rFonts w:eastAsia="Arial" w:cs="Arial"/>
          <w:color w:val="231F20"/>
        </w:rPr>
        <w:t>l</w:t>
      </w:r>
      <w:r w:rsidRPr="00DB6EB1">
        <w:rPr>
          <w:rFonts w:eastAsia="Arial" w:cs="Arial"/>
          <w:color w:val="231F20"/>
          <w:spacing w:val="24"/>
        </w:rPr>
        <w:t xml:space="preserve"> </w:t>
      </w:r>
      <w:r w:rsidRPr="00DB6EB1">
        <w:rPr>
          <w:rFonts w:eastAsia="Arial" w:cs="Arial"/>
          <w:color w:val="231F20"/>
          <w:spacing w:val="1"/>
        </w:rPr>
        <w:t>v</w:t>
      </w:r>
      <w:r w:rsidRPr="00DB6EB1">
        <w:rPr>
          <w:rFonts w:eastAsia="Arial" w:cs="Arial"/>
          <w:color w:val="231F20"/>
          <w:spacing w:val="2"/>
        </w:rPr>
        <w:t>er</w:t>
      </w:r>
      <w:r w:rsidRPr="00DB6EB1">
        <w:rPr>
          <w:rFonts w:eastAsia="Arial" w:cs="Arial"/>
          <w:color w:val="231F20"/>
          <w:spacing w:val="1"/>
        </w:rPr>
        <w:t>t</w:t>
      </w:r>
      <w:r w:rsidRPr="00DB6EB1">
        <w:rPr>
          <w:rFonts w:eastAsia="Arial" w:cs="Arial"/>
          <w:color w:val="231F20"/>
          <w:spacing w:val="2"/>
        </w:rPr>
        <w:t>ragli</w:t>
      </w:r>
      <w:r w:rsidRPr="00DB6EB1">
        <w:rPr>
          <w:rFonts w:eastAsia="Arial" w:cs="Arial"/>
          <w:color w:val="231F20"/>
          <w:spacing w:val="1"/>
        </w:rPr>
        <w:t>c</w:t>
      </w:r>
      <w:r w:rsidRPr="00DB6EB1">
        <w:rPr>
          <w:rFonts w:eastAsia="Arial" w:cs="Arial"/>
          <w:color w:val="231F20"/>
          <w:spacing w:val="2"/>
        </w:rPr>
        <w:t>he</w:t>
      </w:r>
      <w:r w:rsidRPr="00DB6EB1">
        <w:rPr>
          <w:rFonts w:eastAsia="Arial" w:cs="Arial"/>
          <w:color w:val="231F20"/>
        </w:rPr>
        <w:t>r</w:t>
      </w:r>
      <w:r w:rsidRPr="00DB6EB1">
        <w:rPr>
          <w:rFonts w:eastAsia="Arial" w:cs="Arial"/>
          <w:color w:val="231F20"/>
          <w:spacing w:val="12"/>
        </w:rPr>
        <w:t xml:space="preserve"> </w:t>
      </w:r>
      <w:r w:rsidRPr="00DB6EB1">
        <w:rPr>
          <w:rFonts w:eastAsia="Arial" w:cs="Arial"/>
          <w:color w:val="231F20"/>
          <w:spacing w:val="3"/>
        </w:rPr>
        <w:t>R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  <w:spacing w:val="3"/>
        </w:rPr>
        <w:t>g</w:t>
      </w:r>
      <w:r w:rsidRPr="00DB6EB1">
        <w:rPr>
          <w:rFonts w:eastAsia="Arial" w:cs="Arial"/>
          <w:color w:val="231F20"/>
          <w:spacing w:val="2"/>
        </w:rPr>
        <w:t>e</w:t>
      </w:r>
      <w:r w:rsidRPr="00DB6EB1">
        <w:rPr>
          <w:rFonts w:eastAsia="Arial" w:cs="Arial"/>
          <w:color w:val="231F20"/>
          <w:spacing w:val="1"/>
        </w:rPr>
        <w:t>l</w:t>
      </w:r>
      <w:r w:rsidRPr="00DB6EB1">
        <w:rPr>
          <w:rFonts w:eastAsia="Arial" w:cs="Arial"/>
          <w:color w:val="231F20"/>
          <w:spacing w:val="2"/>
        </w:rPr>
        <w:t>ungen</w:t>
      </w:r>
      <w:r w:rsidRPr="00DB6EB1">
        <w:rPr>
          <w:rFonts w:eastAsia="Arial" w:cs="Arial"/>
          <w:color w:val="231F20"/>
        </w:rPr>
        <w:t xml:space="preserve">, </w:t>
      </w:r>
      <w:r w:rsidRPr="00DB6EB1">
        <w:rPr>
          <w:rFonts w:eastAsia="Arial" w:cs="Arial"/>
          <w:color w:val="231F20"/>
          <w:spacing w:val="2"/>
        </w:rPr>
        <w:t>di</w:t>
      </w:r>
      <w:r w:rsidRPr="00DB6EB1">
        <w:rPr>
          <w:rFonts w:eastAsia="Arial" w:cs="Arial"/>
          <w:color w:val="231F20"/>
        </w:rPr>
        <w:t>e</w:t>
      </w:r>
      <w:r w:rsidRPr="00DB6EB1">
        <w:rPr>
          <w:rFonts w:eastAsia="Arial" w:cs="Arial"/>
          <w:color w:val="231F20"/>
          <w:spacing w:val="19"/>
        </w:rPr>
        <w:t xml:space="preserve"> </w:t>
      </w:r>
      <w:r w:rsidRPr="00DB6EB1">
        <w:rPr>
          <w:rFonts w:eastAsia="Arial" w:cs="Arial"/>
          <w:color w:val="231F20"/>
          <w:spacing w:val="2"/>
        </w:rPr>
        <w:t>eine Datenkom</w:t>
      </w:r>
      <w:r w:rsidRPr="00DB6EB1">
        <w:rPr>
          <w:rFonts w:eastAsia="Arial" w:cs="Arial"/>
          <w:color w:val="231F20"/>
          <w:spacing w:val="1"/>
        </w:rPr>
        <w:t>m</w:t>
      </w:r>
      <w:r w:rsidRPr="00DB6EB1">
        <w:rPr>
          <w:rFonts w:eastAsia="Arial" w:cs="Arial"/>
          <w:color w:val="231F20"/>
          <w:spacing w:val="3"/>
        </w:rPr>
        <w:t>u</w:t>
      </w:r>
      <w:r w:rsidRPr="00DB6EB1">
        <w:rPr>
          <w:rFonts w:eastAsia="Arial" w:cs="Arial"/>
          <w:color w:val="231F20"/>
          <w:spacing w:val="2"/>
        </w:rPr>
        <w:t>nikat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  <w:spacing w:val="2"/>
        </w:rPr>
        <w:t>o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9"/>
        </w:rPr>
        <w:t xml:space="preserve"> </w:t>
      </w:r>
      <w:r w:rsidRPr="00DB6EB1">
        <w:rPr>
          <w:rFonts w:eastAsia="Arial" w:cs="Arial"/>
          <w:color w:val="231F20"/>
          <w:spacing w:val="2"/>
        </w:rPr>
        <w:t>du</w:t>
      </w:r>
      <w:r w:rsidRPr="00DB6EB1">
        <w:rPr>
          <w:rFonts w:eastAsia="Arial" w:cs="Arial"/>
          <w:color w:val="231F20"/>
        </w:rPr>
        <w:t>r</w:t>
      </w:r>
      <w:r w:rsidRPr="00DB6EB1">
        <w:rPr>
          <w:rFonts w:eastAsia="Arial" w:cs="Arial"/>
          <w:color w:val="231F20"/>
          <w:spacing w:val="3"/>
        </w:rPr>
        <w:t>c</w:t>
      </w:r>
      <w:r w:rsidRPr="00DB6EB1">
        <w:rPr>
          <w:rFonts w:eastAsia="Arial" w:cs="Arial"/>
          <w:color w:val="231F20"/>
        </w:rPr>
        <w:t>h</w:t>
      </w:r>
      <w:r w:rsidRPr="00DB6EB1">
        <w:rPr>
          <w:rFonts w:eastAsia="Arial" w:cs="Arial"/>
          <w:color w:val="231F20"/>
          <w:spacing w:val="10"/>
        </w:rPr>
        <w:t xml:space="preserve"> </w:t>
      </w:r>
      <w:r w:rsidRPr="00DB6EB1">
        <w:rPr>
          <w:rFonts w:eastAsia="Arial" w:cs="Arial"/>
          <w:color w:val="231F20"/>
          <w:spacing w:val="2"/>
        </w:rPr>
        <w:t>da</w:t>
      </w:r>
      <w:r w:rsidRPr="00DB6EB1">
        <w:rPr>
          <w:rFonts w:eastAsia="Arial" w:cs="Arial"/>
          <w:color w:val="231F20"/>
        </w:rPr>
        <w:t>s</w:t>
      </w:r>
      <w:r w:rsidRPr="00DB6EB1">
        <w:rPr>
          <w:rFonts w:eastAsia="Arial" w:cs="Arial"/>
          <w:color w:val="231F20"/>
          <w:spacing w:val="2"/>
        </w:rPr>
        <w:t xml:space="preserve"> ode</w:t>
      </w:r>
      <w:r w:rsidRPr="00DB6EB1">
        <w:rPr>
          <w:rFonts w:eastAsia="Arial" w:cs="Arial"/>
          <w:color w:val="231F20"/>
        </w:rPr>
        <w:t>r</w:t>
      </w:r>
      <w:r w:rsidRPr="00DB6EB1">
        <w:rPr>
          <w:rFonts w:eastAsia="Arial" w:cs="Arial"/>
          <w:color w:val="231F20"/>
          <w:spacing w:val="5"/>
        </w:rPr>
        <w:t xml:space="preserve"> </w:t>
      </w:r>
      <w:r w:rsidRPr="00DB6EB1">
        <w:rPr>
          <w:rFonts w:eastAsia="Arial" w:cs="Arial"/>
          <w:color w:val="231F20"/>
          <w:spacing w:val="2"/>
        </w:rPr>
        <w:t>mi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8"/>
        </w:rPr>
        <w:t xml:space="preserve"> </w:t>
      </w:r>
      <w:r w:rsidRPr="00DB6EB1">
        <w:rPr>
          <w:rFonts w:eastAsia="Arial" w:cs="Arial"/>
          <w:color w:val="231F20"/>
          <w:spacing w:val="2"/>
        </w:rPr>
        <w:t>Hilf</w:t>
      </w:r>
      <w:r w:rsidRPr="00DB6EB1">
        <w:rPr>
          <w:rFonts w:eastAsia="Arial" w:cs="Arial"/>
          <w:color w:val="231F20"/>
        </w:rPr>
        <w:t xml:space="preserve">e </w:t>
      </w:r>
      <w:r w:rsidRPr="00DB6EB1">
        <w:rPr>
          <w:rFonts w:eastAsia="Arial" w:cs="Arial"/>
          <w:color w:val="231F20"/>
          <w:spacing w:val="2"/>
          <w:w w:val="105"/>
        </w:rPr>
        <w:t>d</w:t>
      </w:r>
      <w:r w:rsidRPr="00DB6EB1">
        <w:rPr>
          <w:rFonts w:eastAsia="Arial" w:cs="Arial"/>
          <w:color w:val="231F20"/>
          <w:spacing w:val="2"/>
          <w:w w:val="98"/>
        </w:rPr>
        <w:t xml:space="preserve">es </w:t>
      </w:r>
      <w:r w:rsidRPr="00DB6EB1">
        <w:rPr>
          <w:rFonts w:eastAsia="Arial" w:cs="Arial"/>
          <w:color w:val="231F20"/>
          <w:spacing w:val="2"/>
        </w:rPr>
        <w:t>Smart-M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  <w:spacing w:val="2"/>
        </w:rPr>
        <w:t>te</w:t>
      </w:r>
      <w:r w:rsidRPr="00DB6EB1">
        <w:rPr>
          <w:rFonts w:eastAsia="Arial" w:cs="Arial"/>
          <w:color w:val="231F20"/>
          <w:spacing w:val="-7"/>
        </w:rPr>
        <w:t>r</w:t>
      </w:r>
      <w:r w:rsidRPr="00DB6EB1">
        <w:rPr>
          <w:rFonts w:eastAsia="Arial" w:cs="Arial"/>
          <w:color w:val="231F20"/>
          <w:spacing w:val="2"/>
        </w:rPr>
        <w:t>-Gate</w:t>
      </w:r>
      <w:r w:rsidRPr="00DB6EB1">
        <w:rPr>
          <w:rFonts w:eastAsia="Arial" w:cs="Arial"/>
          <w:color w:val="231F20"/>
          <w:spacing w:val="1"/>
        </w:rPr>
        <w:t>w</w:t>
      </w:r>
      <w:r w:rsidRPr="00DB6EB1">
        <w:rPr>
          <w:rFonts w:eastAsia="Arial" w:cs="Arial"/>
          <w:color w:val="231F20"/>
          <w:spacing w:val="2"/>
        </w:rPr>
        <w:t>ay</w:t>
      </w:r>
      <w:r w:rsidRPr="00DB6EB1">
        <w:rPr>
          <w:rFonts w:eastAsia="Arial" w:cs="Arial"/>
          <w:color w:val="231F20"/>
        </w:rPr>
        <w:t>s</w:t>
      </w:r>
      <w:r w:rsidRPr="00DB6EB1">
        <w:rPr>
          <w:rFonts w:eastAsia="Arial" w:cs="Arial"/>
          <w:color w:val="231F20"/>
          <w:spacing w:val="43"/>
        </w:rPr>
        <w:t xml:space="preserve"> </w:t>
      </w:r>
      <w:r w:rsidRPr="00DB6EB1">
        <w:rPr>
          <w:rFonts w:eastAsia="Arial" w:cs="Arial"/>
          <w:color w:val="231F20"/>
          <w:spacing w:val="2"/>
        </w:rPr>
        <w:t>auslösen</w:t>
      </w:r>
      <w:r w:rsidRPr="00DB6EB1">
        <w:rPr>
          <w:rFonts w:eastAsia="Arial" w:cs="Arial"/>
          <w:color w:val="231F20"/>
        </w:rPr>
        <w:t>,</w:t>
      </w:r>
      <w:r w:rsidRPr="00DB6EB1">
        <w:rPr>
          <w:rFonts w:eastAsia="Arial" w:cs="Arial"/>
          <w:color w:val="231F20"/>
          <w:spacing w:val="22"/>
        </w:rPr>
        <w:t xml:space="preserve"> </w:t>
      </w:r>
      <w:r w:rsidRPr="00DB6EB1">
        <w:rPr>
          <w:rFonts w:eastAsia="Arial" w:cs="Arial"/>
          <w:color w:val="231F20"/>
          <w:spacing w:val="2"/>
        </w:rPr>
        <w:t>mus</w:t>
      </w:r>
      <w:r w:rsidRPr="00DB6EB1">
        <w:rPr>
          <w:rFonts w:eastAsia="Arial" w:cs="Arial"/>
          <w:color w:val="231F20"/>
        </w:rPr>
        <w:t>s</w:t>
      </w:r>
      <w:r w:rsidRPr="00DB6EB1">
        <w:rPr>
          <w:rFonts w:eastAsia="Arial" w:cs="Arial"/>
          <w:color w:val="231F20"/>
          <w:spacing w:val="31"/>
        </w:rPr>
        <w:t xml:space="preserve"> </w:t>
      </w:r>
      <w:r w:rsidRPr="00DB6EB1">
        <w:rPr>
          <w:rFonts w:eastAsia="Arial" w:cs="Arial"/>
          <w:color w:val="231F20"/>
          <w:spacing w:val="2"/>
        </w:rPr>
        <w:t>e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25"/>
        </w:rPr>
        <w:t xml:space="preserve"> </w:t>
      </w:r>
      <w:r w:rsidRPr="00DB6EB1">
        <w:rPr>
          <w:rFonts w:eastAsia="Arial" w:cs="Arial"/>
          <w:color w:val="231F20"/>
          <w:spacing w:val="2"/>
        </w:rPr>
        <w:t>standa</w:t>
      </w:r>
      <w:r w:rsidRPr="00DB6EB1">
        <w:rPr>
          <w:rFonts w:eastAsia="Arial" w:cs="Arial"/>
          <w:color w:val="231F20"/>
        </w:rPr>
        <w:t>r</w:t>
      </w:r>
      <w:r w:rsidRPr="00DB6EB1">
        <w:rPr>
          <w:rFonts w:eastAsia="Arial" w:cs="Arial"/>
          <w:color w:val="231F20"/>
          <w:spacing w:val="3"/>
          <w:w w:val="105"/>
        </w:rPr>
        <w:t>d</w:t>
      </w:r>
      <w:r w:rsidRPr="00DB6EB1">
        <w:rPr>
          <w:rFonts w:eastAsia="Arial" w:cs="Arial"/>
          <w:color w:val="231F20"/>
          <w:spacing w:val="1"/>
          <w:w w:val="98"/>
        </w:rPr>
        <w:t>i</w:t>
      </w:r>
      <w:r w:rsidRPr="00DB6EB1">
        <w:rPr>
          <w:rFonts w:eastAsia="Arial" w:cs="Arial"/>
          <w:color w:val="231F20"/>
          <w:spacing w:val="2"/>
        </w:rPr>
        <w:t>si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  <w:spacing w:val="3"/>
        </w:rPr>
        <w:t>r</w:t>
      </w:r>
      <w:r w:rsidRPr="00DB6EB1">
        <w:rPr>
          <w:rFonts w:eastAsia="Arial" w:cs="Arial"/>
          <w:color w:val="231F20"/>
          <w:spacing w:val="2"/>
        </w:rPr>
        <w:t>t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</w:rPr>
        <w:t>s</w:t>
      </w:r>
      <w:r w:rsidRPr="00DB6EB1">
        <w:rPr>
          <w:rFonts w:eastAsia="Arial" w:cs="Arial"/>
          <w:color w:val="231F20"/>
          <w:spacing w:val="9"/>
        </w:rPr>
        <w:t xml:space="preserve"> </w:t>
      </w:r>
      <w:r w:rsidRPr="00DB6EB1">
        <w:rPr>
          <w:rFonts w:eastAsia="Arial" w:cs="Arial"/>
          <w:color w:val="231F20"/>
          <w:spacing w:val="3"/>
        </w:rPr>
        <w:t>F</w:t>
      </w:r>
      <w:r w:rsidRPr="00DB6EB1">
        <w:rPr>
          <w:rFonts w:eastAsia="Arial" w:cs="Arial"/>
          <w:color w:val="231F20"/>
          <w:spacing w:val="2"/>
        </w:rPr>
        <w:t>ormb</w:t>
      </w:r>
      <w:r w:rsidRPr="00DB6EB1">
        <w:rPr>
          <w:rFonts w:eastAsia="Arial" w:cs="Arial"/>
          <w:color w:val="231F20"/>
          <w:spacing w:val="1"/>
        </w:rPr>
        <w:t>l</w:t>
      </w:r>
      <w:r w:rsidRPr="00DB6EB1">
        <w:rPr>
          <w:rFonts w:eastAsia="Arial" w:cs="Arial"/>
          <w:color w:val="231F20"/>
          <w:spacing w:val="2"/>
        </w:rPr>
        <w:t>at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25"/>
        </w:rPr>
        <w:t xml:space="preserve"> </w:t>
      </w:r>
      <w:r w:rsidRPr="00DB6EB1">
        <w:rPr>
          <w:rFonts w:eastAsia="Arial" w:cs="Arial"/>
          <w:color w:val="231F20"/>
          <w:spacing w:val="2"/>
        </w:rPr>
        <w:t>se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  <w:spacing w:val="2"/>
        </w:rPr>
        <w:t>n</w:t>
      </w:r>
      <w:r w:rsidRPr="00DB6EB1">
        <w:rPr>
          <w:rFonts w:eastAsia="Arial" w:cs="Arial"/>
          <w:color w:val="231F20"/>
        </w:rPr>
        <w:t>,</w:t>
      </w:r>
      <w:r w:rsidRPr="00DB6EB1">
        <w:rPr>
          <w:rFonts w:eastAsia="Arial" w:cs="Arial"/>
          <w:color w:val="231F20"/>
          <w:spacing w:val="8"/>
        </w:rPr>
        <w:t xml:space="preserve"> 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13"/>
        </w:rPr>
        <w:t xml:space="preserve"> </w:t>
      </w:r>
      <w:r w:rsidRPr="00DB6EB1">
        <w:rPr>
          <w:rFonts w:eastAsia="Arial" w:cs="Arial"/>
          <w:color w:val="231F20"/>
          <w:spacing w:val="2"/>
        </w:rPr>
        <w:t>de</w:t>
      </w:r>
      <w:r w:rsidRPr="00DB6EB1">
        <w:rPr>
          <w:rFonts w:eastAsia="Arial" w:cs="Arial"/>
          <w:color w:val="231F20"/>
        </w:rPr>
        <w:t>m</w:t>
      </w:r>
      <w:r w:rsidRPr="00DB6EB1">
        <w:rPr>
          <w:rFonts w:eastAsia="Arial" w:cs="Arial"/>
          <w:color w:val="231F20"/>
          <w:spacing w:val="16"/>
        </w:rPr>
        <w:t xml:space="preserve"> </w:t>
      </w:r>
      <w:r w:rsidRPr="00DB6EB1">
        <w:rPr>
          <w:rFonts w:eastAsia="Arial" w:cs="Arial"/>
          <w:color w:val="231F20"/>
          <w:spacing w:val="2"/>
        </w:rPr>
        <w:t>kurz</w:t>
      </w:r>
      <w:r w:rsidRPr="00DB6EB1">
        <w:rPr>
          <w:rFonts w:eastAsia="Arial" w:cs="Arial"/>
          <w:color w:val="231F20"/>
        </w:rPr>
        <w:t>,</w:t>
      </w:r>
      <w:r w:rsidRPr="00DB6EB1">
        <w:rPr>
          <w:rFonts w:eastAsia="Arial" w:cs="Arial"/>
          <w:color w:val="231F20"/>
          <w:spacing w:val="9"/>
        </w:rPr>
        <w:t xml:space="preserve"> </w:t>
      </w:r>
      <w:r w:rsidRPr="00DB6EB1">
        <w:rPr>
          <w:rFonts w:eastAsia="Arial" w:cs="Arial"/>
          <w:color w:val="231F20"/>
          <w:spacing w:val="2"/>
        </w:rPr>
        <w:t>einf</w:t>
      </w:r>
      <w:r w:rsidRPr="00DB6EB1">
        <w:rPr>
          <w:rFonts w:eastAsia="Arial" w:cs="Arial"/>
          <w:color w:val="231F20"/>
          <w:spacing w:val="1"/>
        </w:rPr>
        <w:t>a</w:t>
      </w:r>
      <w:r w:rsidRPr="00DB6EB1">
        <w:rPr>
          <w:rFonts w:eastAsia="Arial" w:cs="Arial"/>
          <w:color w:val="231F20"/>
          <w:spacing w:val="2"/>
        </w:rPr>
        <w:t>ch</w:t>
      </w:r>
      <w:r w:rsidRPr="00DB6EB1">
        <w:rPr>
          <w:rFonts w:eastAsia="Arial" w:cs="Arial"/>
          <w:color w:val="231F20"/>
        </w:rPr>
        <w:t>,</w:t>
      </w:r>
      <w:r w:rsidRPr="00DB6EB1">
        <w:rPr>
          <w:rFonts w:eastAsia="Arial" w:cs="Arial"/>
          <w:color w:val="231F20"/>
          <w:spacing w:val="12"/>
        </w:rPr>
        <w:t xml:space="preserve"> </w:t>
      </w:r>
      <w:r w:rsidRPr="00DB6EB1">
        <w:rPr>
          <w:rFonts w:eastAsia="Arial" w:cs="Arial"/>
          <w:color w:val="231F20"/>
          <w:spacing w:val="2"/>
        </w:rPr>
        <w:t>ü</w:t>
      </w:r>
      <w:r w:rsidRPr="00DB6EB1">
        <w:rPr>
          <w:rFonts w:eastAsia="Arial" w:cs="Arial"/>
          <w:color w:val="231F20"/>
          <w:spacing w:val="2"/>
          <w:w w:val="101"/>
        </w:rPr>
        <w:t>bersi</w:t>
      </w:r>
      <w:r w:rsidRPr="00DB6EB1">
        <w:rPr>
          <w:rFonts w:eastAsia="Arial" w:cs="Arial"/>
          <w:color w:val="231F20"/>
          <w:spacing w:val="1"/>
          <w:w w:val="101"/>
        </w:rPr>
        <w:t>c</w:t>
      </w:r>
      <w:r w:rsidRPr="00DB6EB1">
        <w:rPr>
          <w:rFonts w:eastAsia="Arial" w:cs="Arial"/>
          <w:color w:val="231F20"/>
          <w:spacing w:val="2"/>
          <w:w w:val="104"/>
        </w:rPr>
        <w:t>h</w:t>
      </w:r>
      <w:r w:rsidRPr="00DB6EB1">
        <w:rPr>
          <w:rFonts w:eastAsia="Arial" w:cs="Arial"/>
          <w:color w:val="231F20"/>
          <w:spacing w:val="1"/>
          <w:w w:val="104"/>
        </w:rPr>
        <w:t>t</w:t>
      </w:r>
      <w:r w:rsidRPr="00DB6EB1">
        <w:rPr>
          <w:rFonts w:eastAsia="Arial" w:cs="Arial"/>
          <w:color w:val="231F20"/>
          <w:spacing w:val="2"/>
        </w:rPr>
        <w:t>li</w:t>
      </w:r>
      <w:r w:rsidRPr="00DB6EB1">
        <w:rPr>
          <w:rFonts w:eastAsia="Arial" w:cs="Arial"/>
          <w:color w:val="231F20"/>
          <w:spacing w:val="1"/>
        </w:rPr>
        <w:t>c</w:t>
      </w:r>
      <w:r w:rsidRPr="00DB6EB1">
        <w:rPr>
          <w:rFonts w:eastAsia="Arial" w:cs="Arial"/>
          <w:color w:val="231F20"/>
        </w:rPr>
        <w:t>h</w:t>
      </w:r>
      <w:r w:rsidRPr="00DB6EB1">
        <w:rPr>
          <w:rFonts w:eastAsia="Arial" w:cs="Arial"/>
          <w:color w:val="231F20"/>
          <w:spacing w:val="44"/>
        </w:rPr>
        <w:t xml:space="preserve"> </w:t>
      </w:r>
      <w:r w:rsidRPr="00DB6EB1">
        <w:rPr>
          <w:rFonts w:eastAsia="Arial" w:cs="Arial"/>
          <w:color w:val="231F20"/>
          <w:spacing w:val="2"/>
        </w:rPr>
        <w:t>un</w:t>
      </w:r>
      <w:r w:rsidRPr="00DB6EB1">
        <w:rPr>
          <w:rFonts w:eastAsia="Arial" w:cs="Arial"/>
          <w:color w:val="231F20"/>
        </w:rPr>
        <w:t>d</w:t>
      </w:r>
      <w:r w:rsidRPr="00DB6EB1">
        <w:rPr>
          <w:rFonts w:eastAsia="Arial" w:cs="Arial"/>
          <w:color w:val="231F20"/>
          <w:spacing w:val="41"/>
        </w:rPr>
        <w:t xml:space="preserve"> </w:t>
      </w:r>
      <w:r w:rsidRPr="00DB6EB1">
        <w:rPr>
          <w:rFonts w:eastAsia="Arial" w:cs="Arial"/>
          <w:color w:val="231F20"/>
          <w:spacing w:val="2"/>
        </w:rPr>
        <w:t>verständl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  <w:spacing w:val="2"/>
        </w:rPr>
        <w:t>c</w:t>
      </w:r>
      <w:r w:rsidRPr="00DB6EB1">
        <w:rPr>
          <w:rFonts w:eastAsia="Arial" w:cs="Arial"/>
          <w:color w:val="231F20"/>
        </w:rPr>
        <w:t>h</w:t>
      </w:r>
      <w:r w:rsidRPr="00DB6EB1">
        <w:rPr>
          <w:rFonts w:eastAsia="Arial" w:cs="Arial"/>
          <w:color w:val="231F20"/>
          <w:spacing w:val="45"/>
        </w:rPr>
        <w:t xml:space="preserve"> </w:t>
      </w:r>
      <w:r w:rsidRPr="00DB6EB1">
        <w:rPr>
          <w:rFonts w:eastAsia="Arial" w:cs="Arial"/>
          <w:color w:val="231F20"/>
          <w:spacing w:val="2"/>
        </w:rPr>
        <w:t>d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</w:rPr>
        <w:t>e</w:t>
      </w:r>
      <w:r w:rsidRPr="00DB6EB1">
        <w:rPr>
          <w:rFonts w:eastAsia="Arial" w:cs="Arial"/>
          <w:color w:val="231F20"/>
          <w:spacing w:val="38"/>
        </w:rPr>
        <w:t xml:space="preserve"> </w:t>
      </w:r>
      <w:r w:rsidRPr="00DB6EB1">
        <w:rPr>
          <w:rFonts w:eastAsia="Arial" w:cs="Arial"/>
          <w:color w:val="231F20"/>
          <w:spacing w:val="2"/>
        </w:rPr>
        <w:t>sic</w:t>
      </w:r>
      <w:r w:rsidRPr="00DB6EB1">
        <w:rPr>
          <w:rFonts w:eastAsia="Arial" w:cs="Arial"/>
          <w:color w:val="231F20"/>
        </w:rPr>
        <w:t>h</w:t>
      </w:r>
      <w:r w:rsidRPr="00DB6EB1">
        <w:rPr>
          <w:rFonts w:eastAsia="Arial" w:cs="Arial"/>
          <w:color w:val="231F20"/>
          <w:spacing w:val="43"/>
        </w:rPr>
        <w:t xml:space="preserve"> </w:t>
      </w:r>
      <w:r w:rsidRPr="00DB6EB1">
        <w:rPr>
          <w:rFonts w:eastAsia="Arial" w:cs="Arial"/>
          <w:color w:val="231F20"/>
          <w:spacing w:val="2"/>
        </w:rPr>
        <w:t>au</w:t>
      </w:r>
      <w:r w:rsidRPr="00DB6EB1">
        <w:rPr>
          <w:rFonts w:eastAsia="Arial" w:cs="Arial"/>
          <w:color w:val="231F20"/>
        </w:rPr>
        <w:t>s</w:t>
      </w:r>
      <w:r w:rsidRPr="00DB6EB1">
        <w:rPr>
          <w:rFonts w:eastAsia="Arial" w:cs="Arial"/>
          <w:color w:val="231F20"/>
          <w:spacing w:val="34"/>
        </w:rPr>
        <w:t xml:space="preserve"> </w:t>
      </w:r>
      <w:r w:rsidRPr="00DB6EB1">
        <w:rPr>
          <w:rFonts w:eastAsia="Arial" w:cs="Arial"/>
          <w:color w:val="231F20"/>
          <w:spacing w:val="2"/>
        </w:rPr>
        <w:t>de</w:t>
      </w:r>
      <w:r w:rsidRPr="00DB6EB1">
        <w:rPr>
          <w:rFonts w:eastAsia="Arial" w:cs="Arial"/>
          <w:color w:val="231F20"/>
        </w:rPr>
        <w:t>m</w:t>
      </w:r>
      <w:r w:rsidRPr="00DB6EB1">
        <w:rPr>
          <w:rFonts w:eastAsia="Arial" w:cs="Arial"/>
          <w:color w:val="231F20"/>
          <w:spacing w:val="43"/>
        </w:rPr>
        <w:t xml:space="preserve"> </w:t>
      </w:r>
      <w:r w:rsidRPr="00DB6EB1">
        <w:rPr>
          <w:rFonts w:eastAsia="Arial" w:cs="Arial"/>
          <w:color w:val="231F20"/>
          <w:spacing w:val="-7"/>
        </w:rPr>
        <w:t>V</w:t>
      </w:r>
      <w:r w:rsidRPr="00DB6EB1">
        <w:rPr>
          <w:rFonts w:eastAsia="Arial" w:cs="Arial"/>
          <w:color w:val="231F20"/>
          <w:spacing w:val="2"/>
        </w:rPr>
        <w:t>ertr</w:t>
      </w:r>
      <w:r w:rsidRPr="00DB6EB1">
        <w:rPr>
          <w:rFonts w:eastAsia="Arial" w:cs="Arial"/>
          <w:color w:val="231F20"/>
          <w:spacing w:val="1"/>
        </w:rPr>
        <w:t>a</w:t>
      </w:r>
      <w:r w:rsidRPr="00DB6EB1">
        <w:rPr>
          <w:rFonts w:eastAsia="Arial" w:cs="Arial"/>
          <w:color w:val="231F20"/>
        </w:rPr>
        <w:t>g</w:t>
      </w:r>
      <w:r w:rsidRPr="00DB6EB1">
        <w:rPr>
          <w:rFonts w:eastAsia="Arial" w:cs="Arial"/>
          <w:color w:val="231F20"/>
          <w:spacing w:val="24"/>
        </w:rPr>
        <w:t xml:space="preserve"> </w:t>
      </w:r>
      <w:r w:rsidRPr="00DB6EB1">
        <w:rPr>
          <w:rFonts w:eastAsia="Arial" w:cs="Arial"/>
          <w:color w:val="231F20"/>
          <w:spacing w:val="2"/>
          <w:w w:val="96"/>
        </w:rPr>
        <w:t>e</w:t>
      </w:r>
      <w:r w:rsidRPr="00DB6EB1">
        <w:rPr>
          <w:rFonts w:eastAsia="Arial" w:cs="Arial"/>
          <w:color w:val="231F20"/>
          <w:w w:val="96"/>
        </w:rPr>
        <w:t>r</w:t>
      </w:r>
      <w:r w:rsidRPr="00DB6EB1">
        <w:rPr>
          <w:rFonts w:eastAsia="Arial" w:cs="Arial"/>
          <w:color w:val="231F20"/>
          <w:w w:val="103"/>
        </w:rPr>
        <w:t>g</w:t>
      </w:r>
      <w:r w:rsidRPr="00DB6EB1">
        <w:rPr>
          <w:rFonts w:eastAsia="Arial" w:cs="Arial"/>
          <w:color w:val="231F20"/>
          <w:spacing w:val="2"/>
          <w:w w:val="96"/>
        </w:rPr>
        <w:t>e</w:t>
      </w:r>
      <w:r w:rsidRPr="00DB6EB1">
        <w:rPr>
          <w:rFonts w:eastAsia="Arial" w:cs="Arial"/>
          <w:color w:val="231F20"/>
          <w:spacing w:val="2"/>
        </w:rPr>
        <w:t>bend</w:t>
      </w:r>
      <w:r w:rsidRPr="00DB6EB1">
        <w:rPr>
          <w:rFonts w:eastAsia="Arial" w:cs="Arial"/>
          <w:color w:val="231F20"/>
        </w:rPr>
        <w:t xml:space="preserve">e </w:t>
      </w:r>
      <w:r w:rsidRPr="00DB6EB1">
        <w:rPr>
          <w:rFonts w:eastAsia="Arial" w:cs="Arial"/>
          <w:color w:val="231F20"/>
          <w:spacing w:val="3"/>
        </w:rPr>
        <w:t>D</w:t>
      </w:r>
      <w:r w:rsidRPr="00DB6EB1">
        <w:rPr>
          <w:rFonts w:eastAsia="Arial" w:cs="Arial"/>
          <w:color w:val="231F20"/>
          <w:spacing w:val="1"/>
        </w:rPr>
        <w:t>a</w:t>
      </w:r>
      <w:r w:rsidRPr="00DB6EB1">
        <w:rPr>
          <w:rFonts w:eastAsia="Arial" w:cs="Arial"/>
          <w:color w:val="231F20"/>
          <w:spacing w:val="2"/>
        </w:rPr>
        <w:t>tenkommunikat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  <w:spacing w:val="2"/>
        </w:rPr>
        <w:t>o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13"/>
        </w:rPr>
        <w:t xml:space="preserve"> </w:t>
      </w:r>
      <w:r w:rsidRPr="00DB6EB1">
        <w:rPr>
          <w:rFonts w:eastAsia="Arial" w:cs="Arial"/>
          <w:color w:val="231F20"/>
          <w:spacing w:val="2"/>
        </w:rPr>
        <w:t>aufgel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  <w:spacing w:val="2"/>
        </w:rPr>
        <w:t>ste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3"/>
        </w:rPr>
        <w:t xml:space="preserve"> </w:t>
      </w:r>
      <w:r w:rsidRPr="00DB6EB1">
        <w:rPr>
          <w:rFonts w:eastAsia="Arial" w:cs="Arial"/>
          <w:color w:val="231F20"/>
          <w:spacing w:val="2"/>
        </w:rPr>
        <w:t>w</w:t>
      </w:r>
      <w:r w:rsidRPr="00DB6EB1">
        <w:rPr>
          <w:rFonts w:eastAsia="Arial" w:cs="Arial"/>
          <w:color w:val="231F20"/>
          <w:spacing w:val="1"/>
        </w:rPr>
        <w:t>i</w:t>
      </w:r>
      <w:r w:rsidRPr="00DB6EB1">
        <w:rPr>
          <w:rFonts w:eastAsia="Arial" w:cs="Arial"/>
          <w:color w:val="231F20"/>
        </w:rPr>
        <w:t>r</w:t>
      </w:r>
      <w:r w:rsidRPr="00DB6EB1">
        <w:rPr>
          <w:rFonts w:eastAsia="Arial" w:cs="Arial"/>
          <w:color w:val="231F20"/>
          <w:spacing w:val="2"/>
        </w:rPr>
        <w:t>d</w:t>
      </w:r>
      <w:r w:rsidRPr="00DB6EB1">
        <w:rPr>
          <w:rFonts w:eastAsia="Arial" w:cs="Arial"/>
          <w:color w:val="231F20"/>
        </w:rPr>
        <w:t>.</w:t>
      </w:r>
      <w:r w:rsidRPr="00DB6EB1">
        <w:rPr>
          <w:rFonts w:eastAsia="Arial" w:cs="Arial"/>
          <w:color w:val="231F20"/>
          <w:spacing w:val="8"/>
        </w:rPr>
        <w:t xml:space="preserve"> </w:t>
      </w:r>
      <w:r w:rsidRPr="00DB6EB1">
        <w:rPr>
          <w:rFonts w:eastAsia="Arial" w:cs="Arial"/>
          <w:color w:val="231F20"/>
          <w:spacing w:val="2"/>
        </w:rPr>
        <w:t>Das Formblat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14"/>
        </w:rPr>
        <w:t xml:space="preserve"> </w:t>
      </w:r>
      <w:r w:rsidRPr="00DB6EB1">
        <w:rPr>
          <w:rFonts w:eastAsia="Arial" w:cs="Arial"/>
          <w:color w:val="231F20"/>
          <w:spacing w:val="1"/>
        </w:rPr>
        <w:t>e</w:t>
      </w:r>
      <w:r w:rsidRPr="00DB6EB1">
        <w:rPr>
          <w:rFonts w:eastAsia="Arial" w:cs="Arial"/>
          <w:color w:val="231F20"/>
          <w:spacing w:val="3"/>
        </w:rPr>
        <w:t>n</w:t>
      </w:r>
      <w:r w:rsidRPr="00DB6EB1">
        <w:rPr>
          <w:rFonts w:eastAsia="Arial" w:cs="Arial"/>
          <w:color w:val="231F20"/>
          <w:spacing w:val="1"/>
        </w:rPr>
        <w:t>t</w:t>
      </w:r>
      <w:r w:rsidRPr="00DB6EB1">
        <w:rPr>
          <w:rFonts w:eastAsia="Arial" w:cs="Arial"/>
          <w:color w:val="231F20"/>
          <w:spacing w:val="3"/>
        </w:rPr>
        <w:t>h</w:t>
      </w:r>
      <w:r w:rsidRPr="00DB6EB1">
        <w:rPr>
          <w:rFonts w:eastAsia="Arial" w:cs="Arial"/>
          <w:color w:val="231F20"/>
          <w:spacing w:val="1"/>
        </w:rPr>
        <w:t>ä</w:t>
      </w:r>
      <w:r w:rsidRPr="00DB6EB1">
        <w:rPr>
          <w:rFonts w:eastAsia="Arial" w:cs="Arial"/>
          <w:color w:val="231F20"/>
          <w:spacing w:val="2"/>
        </w:rPr>
        <w:t>l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10"/>
        </w:rPr>
        <w:t xml:space="preserve"> </w:t>
      </w:r>
      <w:r w:rsidRPr="00DB6EB1">
        <w:rPr>
          <w:rFonts w:eastAsia="Arial" w:cs="Arial"/>
          <w:color w:val="231F20"/>
          <w:spacing w:val="2"/>
        </w:rPr>
        <w:t>insbesonde</w:t>
      </w:r>
      <w:r w:rsidRPr="00DB6EB1">
        <w:rPr>
          <w:rFonts w:eastAsia="Arial" w:cs="Arial"/>
          <w:color w:val="231F20"/>
        </w:rPr>
        <w:t>re</w:t>
      </w:r>
      <w:r w:rsidRPr="00DB6EB1">
        <w:rPr>
          <w:rFonts w:eastAsia="Arial" w:cs="Arial"/>
          <w:color w:val="231F20"/>
          <w:spacing w:val="3"/>
        </w:rPr>
        <w:t xml:space="preserve"> </w:t>
      </w:r>
      <w:r w:rsidRPr="00DB6EB1">
        <w:rPr>
          <w:rFonts w:eastAsia="Arial" w:cs="Arial"/>
          <w:color w:val="231F20"/>
          <w:spacing w:val="2"/>
        </w:rPr>
        <w:t>Angabe</w:t>
      </w:r>
      <w:r w:rsidRPr="00DB6EB1">
        <w:rPr>
          <w:rFonts w:eastAsia="Arial" w:cs="Arial"/>
          <w:color w:val="231F20"/>
        </w:rPr>
        <w:t xml:space="preserve">n </w:t>
      </w:r>
      <w:r w:rsidRPr="00DB6EB1">
        <w:rPr>
          <w:rFonts w:eastAsia="Arial" w:cs="Arial"/>
          <w:color w:val="231F20"/>
          <w:spacing w:val="2"/>
        </w:rPr>
        <w:t>dazu</w:t>
      </w:r>
      <w:r w:rsidRPr="00DB6EB1">
        <w:rPr>
          <w:rFonts w:eastAsia="Arial" w:cs="Arial"/>
          <w:color w:val="231F20"/>
        </w:rPr>
        <w:t>,</w:t>
      </w:r>
      <w:r w:rsidRPr="00DB6EB1">
        <w:rPr>
          <w:rFonts w:eastAsia="Arial" w:cs="Arial"/>
          <w:color w:val="231F20"/>
          <w:spacing w:val="2"/>
        </w:rPr>
        <w:t xml:space="preserve"> wer welch</w:t>
      </w:r>
      <w:r w:rsidRPr="00DB6EB1">
        <w:rPr>
          <w:rFonts w:eastAsia="Arial" w:cs="Arial"/>
          <w:color w:val="231F20"/>
        </w:rPr>
        <w:t>e</w:t>
      </w:r>
      <w:r w:rsidRPr="00DB6EB1">
        <w:rPr>
          <w:rFonts w:eastAsia="Arial" w:cs="Arial"/>
          <w:color w:val="231F20"/>
          <w:spacing w:val="19"/>
        </w:rPr>
        <w:t xml:space="preserve"> </w:t>
      </w:r>
      <w:r w:rsidRPr="00DB6EB1">
        <w:rPr>
          <w:rFonts w:eastAsia="Arial" w:cs="Arial"/>
          <w:color w:val="231F20"/>
          <w:spacing w:val="2"/>
        </w:rPr>
        <w:t>Date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14"/>
        </w:rPr>
        <w:t xml:space="preserve"> </w:t>
      </w:r>
      <w:r w:rsidRPr="00DB6EB1">
        <w:rPr>
          <w:rFonts w:eastAsia="Arial" w:cs="Arial"/>
          <w:color w:val="231F20"/>
          <w:spacing w:val="2"/>
        </w:rPr>
        <w:t>vo</w:t>
      </w:r>
      <w:r w:rsidRPr="00DB6EB1">
        <w:rPr>
          <w:rFonts w:eastAsia="Arial" w:cs="Arial"/>
          <w:color w:val="231F20"/>
        </w:rPr>
        <w:t>n</w:t>
      </w:r>
      <w:r w:rsidRPr="00DB6EB1">
        <w:rPr>
          <w:rFonts w:eastAsia="Arial" w:cs="Arial"/>
          <w:color w:val="231F20"/>
          <w:spacing w:val="21"/>
        </w:rPr>
        <w:t xml:space="preserve"> </w:t>
      </w:r>
      <w:r w:rsidRPr="00DB6EB1">
        <w:rPr>
          <w:rFonts w:eastAsia="Arial" w:cs="Arial"/>
          <w:color w:val="231F20"/>
          <w:spacing w:val="2"/>
        </w:rPr>
        <w:t>we</w:t>
      </w:r>
      <w:r w:rsidRPr="00DB6EB1">
        <w:rPr>
          <w:rFonts w:eastAsia="Arial" w:cs="Arial"/>
          <w:color w:val="231F20"/>
        </w:rPr>
        <w:t>m</w:t>
      </w:r>
      <w:r w:rsidRPr="00DB6EB1">
        <w:rPr>
          <w:rFonts w:eastAsia="Arial" w:cs="Arial"/>
          <w:color w:val="231F20"/>
          <w:spacing w:val="22"/>
        </w:rPr>
        <w:t xml:space="preserve"> </w:t>
      </w:r>
      <w:r w:rsidRPr="00DB6EB1">
        <w:rPr>
          <w:rFonts w:eastAsia="Arial" w:cs="Arial"/>
          <w:color w:val="231F20"/>
          <w:spacing w:val="2"/>
        </w:rPr>
        <w:t>wi</w:t>
      </w:r>
      <w:r w:rsidRPr="00DB6EB1">
        <w:rPr>
          <w:rFonts w:eastAsia="Arial" w:cs="Arial"/>
          <w:color w:val="231F20"/>
        </w:rPr>
        <w:t>e</w:t>
      </w:r>
      <w:r w:rsidRPr="00DB6EB1">
        <w:rPr>
          <w:rFonts w:eastAsia="Arial" w:cs="Arial"/>
          <w:color w:val="231F20"/>
          <w:spacing w:val="18"/>
        </w:rPr>
        <w:t xml:space="preserve"> </w:t>
      </w:r>
      <w:r w:rsidRPr="00DB6EB1">
        <w:rPr>
          <w:rFonts w:eastAsia="Arial" w:cs="Arial"/>
          <w:color w:val="231F20"/>
          <w:spacing w:val="2"/>
        </w:rPr>
        <w:t>o</w:t>
      </w:r>
      <w:r w:rsidRPr="00DB6EB1">
        <w:rPr>
          <w:rFonts w:eastAsia="Arial" w:cs="Arial"/>
          <w:color w:val="231F20"/>
          <w:spacing w:val="3"/>
        </w:rPr>
        <w:t>f</w:t>
      </w:r>
      <w:r w:rsidRPr="00DB6EB1">
        <w:rPr>
          <w:rFonts w:eastAsia="Arial" w:cs="Arial"/>
          <w:color w:val="231F20"/>
        </w:rPr>
        <w:t>t</w:t>
      </w:r>
      <w:r w:rsidRPr="00DB6EB1">
        <w:rPr>
          <w:rFonts w:eastAsia="Arial" w:cs="Arial"/>
          <w:color w:val="231F20"/>
          <w:spacing w:val="30"/>
        </w:rPr>
        <w:t xml:space="preserve"> </w:t>
      </w:r>
      <w:r w:rsidRPr="00DB6EB1">
        <w:rPr>
          <w:rFonts w:eastAsia="Arial" w:cs="Arial"/>
          <w:color w:val="231F20"/>
          <w:spacing w:val="3"/>
        </w:rPr>
        <w:t>z</w:t>
      </w:r>
      <w:r w:rsidRPr="00DB6EB1">
        <w:rPr>
          <w:rFonts w:eastAsia="Arial" w:cs="Arial"/>
          <w:color w:val="231F20"/>
        </w:rPr>
        <w:t>u</w:t>
      </w:r>
      <w:r w:rsidRPr="00DB6EB1">
        <w:rPr>
          <w:rFonts w:eastAsia="Arial" w:cs="Arial"/>
          <w:color w:val="231F20"/>
          <w:spacing w:val="14"/>
        </w:rPr>
        <w:t xml:space="preserve"> </w:t>
      </w:r>
      <w:r w:rsidRPr="00DB6EB1">
        <w:rPr>
          <w:rFonts w:eastAsia="Arial" w:cs="Arial"/>
          <w:color w:val="231F20"/>
          <w:spacing w:val="2"/>
        </w:rPr>
        <w:t>welche</w:t>
      </w:r>
      <w:r w:rsidRPr="00DB6EB1">
        <w:rPr>
          <w:rFonts w:eastAsia="Arial" w:cs="Arial"/>
          <w:color w:val="231F20"/>
        </w:rPr>
        <w:t>m</w:t>
      </w:r>
      <w:r w:rsidRPr="00DB6EB1">
        <w:rPr>
          <w:rFonts w:eastAsia="Arial" w:cs="Arial"/>
          <w:color w:val="231F20"/>
          <w:spacing w:val="24"/>
        </w:rPr>
        <w:t xml:space="preserve"> </w:t>
      </w:r>
      <w:r w:rsidRPr="00DB6EB1">
        <w:rPr>
          <w:rFonts w:eastAsia="Arial" w:cs="Arial"/>
          <w:color w:val="231F20"/>
          <w:spacing w:val="2"/>
        </w:rPr>
        <w:t>Zwec</w:t>
      </w:r>
      <w:r w:rsidRPr="00DB6EB1">
        <w:rPr>
          <w:rFonts w:eastAsia="Arial" w:cs="Arial"/>
          <w:color w:val="231F20"/>
        </w:rPr>
        <w:t>k</w:t>
      </w:r>
      <w:r w:rsidRPr="00DB6EB1">
        <w:rPr>
          <w:rFonts w:eastAsia="Arial" w:cs="Arial"/>
          <w:color w:val="231F20"/>
          <w:spacing w:val="28"/>
        </w:rPr>
        <w:t xml:space="preserve"> </w:t>
      </w:r>
      <w:r w:rsidRPr="00DB6EB1">
        <w:rPr>
          <w:rFonts w:eastAsia="Arial" w:cs="Arial"/>
          <w:color w:val="231F20"/>
          <w:spacing w:val="2"/>
          <w:w w:val="96"/>
        </w:rPr>
        <w:t>e</w:t>
      </w:r>
      <w:r w:rsidRPr="00DB6EB1">
        <w:rPr>
          <w:rFonts w:eastAsia="Arial" w:cs="Arial"/>
          <w:color w:val="231F20"/>
          <w:spacing w:val="-7"/>
          <w:w w:val="97"/>
        </w:rPr>
        <w:t>r</w:t>
      </w:r>
      <w:r w:rsidRPr="00DB6EB1">
        <w:rPr>
          <w:rFonts w:eastAsia="Arial" w:cs="Arial"/>
          <w:color w:val="231F20"/>
          <w:spacing w:val="2"/>
        </w:rPr>
        <w:t>hält.</w:t>
      </w:r>
    </w:p>
    <w:p w14:paraId="5E99714F" w14:textId="2DC66FF0" w:rsidR="00CD2DBB" w:rsidRPr="00DB6EB1" w:rsidRDefault="0045521D" w:rsidP="0047201D">
      <w:pPr>
        <w:spacing w:after="0" w:line="240" w:lineRule="auto"/>
        <w:ind w:right="-51"/>
        <w:jc w:val="both"/>
        <w:rPr>
          <w:rFonts w:eastAsia="Arial" w:cs="Arial"/>
        </w:rPr>
      </w:pPr>
      <w:r>
        <w:rPr>
          <w:rFonts w:eastAsia="Arial" w:cs="Arial"/>
          <w:color w:val="231F20"/>
          <w:spacing w:val="2"/>
        </w:rPr>
        <w:t>Das Formblatt</w:t>
      </w:r>
      <w:r w:rsidR="00CD2DBB" w:rsidRPr="00DB6EB1">
        <w:rPr>
          <w:rFonts w:eastAsia="Arial" w:cs="Arial"/>
          <w:color w:val="231F20"/>
          <w:spacing w:val="2"/>
        </w:rPr>
        <w:t xml:space="preserve"> bezieht sich </w:t>
      </w:r>
      <w:r w:rsidR="00362C10" w:rsidRPr="00DB6EB1">
        <w:rPr>
          <w:rFonts w:eastAsia="Arial" w:cs="Arial"/>
          <w:b/>
          <w:color w:val="231F20"/>
          <w:spacing w:val="2"/>
        </w:rPr>
        <w:t>ausschließlich auf</w:t>
      </w:r>
      <w:r w:rsidR="00CD2DBB" w:rsidRPr="00DB6EB1">
        <w:rPr>
          <w:rFonts w:eastAsia="Arial" w:cs="Arial"/>
          <w:b/>
          <w:color w:val="231F20"/>
          <w:spacing w:val="2"/>
        </w:rPr>
        <w:t xml:space="preserve"> den </w:t>
      </w:r>
      <w:r w:rsidR="00301331" w:rsidRPr="00DB6EB1">
        <w:rPr>
          <w:rFonts w:eastAsia="Arial" w:cs="Arial"/>
          <w:b/>
          <w:color w:val="231F20"/>
          <w:spacing w:val="2"/>
        </w:rPr>
        <w:t xml:space="preserve">festgelegten </w:t>
      </w:r>
      <w:r w:rsidR="00CD2DBB" w:rsidRPr="00DB6EB1">
        <w:rPr>
          <w:rFonts w:eastAsia="Arial" w:cs="Arial"/>
          <w:b/>
          <w:color w:val="231F20"/>
          <w:spacing w:val="2"/>
        </w:rPr>
        <w:t>Interimsprozess</w:t>
      </w:r>
      <w:r w:rsidR="00CD2DBB" w:rsidRPr="00DB6EB1">
        <w:rPr>
          <w:rFonts w:eastAsia="Arial" w:cs="Arial"/>
          <w:color w:val="231F20"/>
          <w:spacing w:val="2"/>
        </w:rPr>
        <w:t xml:space="preserve"> </w:t>
      </w:r>
      <w:r w:rsidR="00301331" w:rsidRPr="00DB6EB1">
        <w:rPr>
          <w:rFonts w:eastAsia="Arial" w:cs="Arial"/>
          <w:color w:val="231F20"/>
          <w:spacing w:val="2"/>
        </w:rPr>
        <w:t>(</w:t>
      </w:r>
      <w:r w:rsidR="004D0124" w:rsidRPr="00DB6EB1">
        <w:rPr>
          <w:rFonts w:eastAsia="Arial" w:cs="Arial"/>
          <w:color w:val="231F20"/>
          <w:spacing w:val="2"/>
        </w:rPr>
        <w:t xml:space="preserve">dieser ist ab dem 01.10.2017 und </w:t>
      </w:r>
      <w:r w:rsidR="00301331" w:rsidRPr="00DB6EB1">
        <w:rPr>
          <w:rFonts w:eastAsia="Arial" w:cs="Arial"/>
          <w:color w:val="231F20"/>
          <w:spacing w:val="2"/>
        </w:rPr>
        <w:t>bis voraussichtlich</w:t>
      </w:r>
      <w:r w:rsidR="004D0124" w:rsidRPr="00DB6EB1">
        <w:rPr>
          <w:rFonts w:eastAsia="Arial" w:cs="Arial"/>
          <w:color w:val="231F20"/>
          <w:spacing w:val="2"/>
        </w:rPr>
        <w:t xml:space="preserve"> </w:t>
      </w:r>
      <w:r w:rsidR="00263B82" w:rsidRPr="00DB6EB1">
        <w:rPr>
          <w:rFonts w:eastAsia="Arial" w:cs="Arial"/>
          <w:color w:val="231F20"/>
          <w:spacing w:val="2"/>
        </w:rPr>
        <w:t>30.11</w:t>
      </w:r>
      <w:r w:rsidR="004D0124" w:rsidRPr="00DB6EB1">
        <w:rPr>
          <w:rFonts w:eastAsia="Arial" w:cs="Arial"/>
          <w:color w:val="231F20"/>
          <w:spacing w:val="2"/>
        </w:rPr>
        <w:t>.</w:t>
      </w:r>
      <w:r w:rsidR="00301331" w:rsidRPr="00DB6EB1">
        <w:rPr>
          <w:rFonts w:eastAsia="Arial" w:cs="Arial"/>
          <w:color w:val="231F20"/>
          <w:spacing w:val="2"/>
        </w:rPr>
        <w:t>2019</w:t>
      </w:r>
      <w:r w:rsidR="004D0124" w:rsidRPr="00DB6EB1">
        <w:rPr>
          <w:rFonts w:eastAsia="Arial" w:cs="Arial"/>
          <w:color w:val="231F20"/>
          <w:spacing w:val="2"/>
        </w:rPr>
        <w:t xml:space="preserve"> in Kraft</w:t>
      </w:r>
      <w:r w:rsidR="00301331" w:rsidRPr="00DB6EB1">
        <w:rPr>
          <w:rFonts w:eastAsia="Arial" w:cs="Arial"/>
          <w:color w:val="231F20"/>
          <w:spacing w:val="2"/>
        </w:rPr>
        <w:t xml:space="preserve">) </w:t>
      </w:r>
      <w:r w:rsidR="00CD2DBB" w:rsidRPr="00DB6EB1">
        <w:rPr>
          <w:rFonts w:eastAsia="Arial" w:cs="Arial"/>
          <w:color w:val="231F20"/>
          <w:spacing w:val="2"/>
        </w:rPr>
        <w:t xml:space="preserve">und die für diesen seitens der </w:t>
      </w:r>
      <w:proofErr w:type="spellStart"/>
      <w:r w:rsidR="00CD2DBB" w:rsidRPr="00DB6EB1">
        <w:rPr>
          <w:rFonts w:eastAsia="Arial" w:cs="Arial"/>
          <w:color w:val="231F20"/>
          <w:spacing w:val="2"/>
        </w:rPr>
        <w:t>BNetzA</w:t>
      </w:r>
      <w:proofErr w:type="spellEnd"/>
      <w:r w:rsidR="00CD2DBB" w:rsidRPr="00DB6EB1">
        <w:rPr>
          <w:rFonts w:eastAsia="Arial" w:cs="Arial"/>
          <w:color w:val="231F20"/>
          <w:spacing w:val="2"/>
        </w:rPr>
        <w:t xml:space="preserve"> </w:t>
      </w:r>
      <w:r w:rsidR="00301331" w:rsidRPr="00DB6EB1">
        <w:rPr>
          <w:rFonts w:eastAsia="Arial" w:cs="Arial"/>
          <w:color w:val="231F20"/>
          <w:spacing w:val="2"/>
        </w:rPr>
        <w:t>bestimmten</w:t>
      </w:r>
      <w:r w:rsidR="00CD2DBB" w:rsidRPr="00DB6EB1">
        <w:rPr>
          <w:rFonts w:eastAsia="Arial" w:cs="Arial"/>
          <w:color w:val="231F20"/>
          <w:spacing w:val="2"/>
        </w:rPr>
        <w:t xml:space="preserve"> Datenübermittlungen (vgl. Anlage 1 zum Beschluss BK6-16-200</w:t>
      </w:r>
      <w:r w:rsidR="001F1DB2" w:rsidRPr="00DB6EB1">
        <w:rPr>
          <w:rFonts w:eastAsia="Arial" w:cs="Arial"/>
          <w:color w:val="231F20"/>
          <w:spacing w:val="2"/>
        </w:rPr>
        <w:t xml:space="preserve"> vom 20.12.2016</w:t>
      </w:r>
      <w:r w:rsidR="00CD2DBB" w:rsidRPr="00DB6EB1">
        <w:rPr>
          <w:rFonts w:eastAsia="Arial" w:cs="Arial"/>
          <w:color w:val="231F20"/>
          <w:spacing w:val="2"/>
        </w:rPr>
        <w:t>.</w:t>
      </w:r>
      <w:r w:rsidR="00301331" w:rsidRPr="00DB6EB1">
        <w:rPr>
          <w:rFonts w:eastAsia="Arial" w:cs="Arial"/>
          <w:color w:val="231F20"/>
          <w:spacing w:val="2"/>
        </w:rPr>
        <w:t xml:space="preserve"> </w:t>
      </w:r>
      <w:r w:rsidR="001F1DB2" w:rsidRPr="00DB6EB1">
        <w:rPr>
          <w:rFonts w:eastAsia="Arial" w:cs="Arial"/>
          <w:color w:val="231F20"/>
          <w:spacing w:val="2"/>
        </w:rPr>
        <w:t xml:space="preserve">Diese Festlegung wird </w:t>
      </w:r>
      <w:r w:rsidR="00DD364A" w:rsidRPr="00DD364A">
        <w:rPr>
          <w:rFonts w:eastAsia="Arial" w:cs="Arial"/>
          <w:color w:val="231F20"/>
          <w:spacing w:val="2"/>
        </w:rPr>
        <w:t>zum 01.12.2019 ersetzt durch die Festlegung BK6-18-032 vom 20.12.2018</w:t>
      </w:r>
      <w:r w:rsidR="001F1DB2" w:rsidRPr="00DB6EB1">
        <w:rPr>
          <w:rFonts w:eastAsia="Arial" w:cs="Arial"/>
          <w:color w:val="231F20"/>
          <w:spacing w:val="2"/>
        </w:rPr>
        <w:t xml:space="preserve">. Im Ergebnis werden die Daten </w:t>
      </w:r>
      <w:r w:rsidR="00DD364A">
        <w:rPr>
          <w:rFonts w:eastAsia="Arial" w:cs="Arial"/>
          <w:color w:val="231F20"/>
          <w:spacing w:val="2"/>
        </w:rPr>
        <w:t>mit der Umsetzung der neuen Festlegung</w:t>
      </w:r>
      <w:r w:rsidR="001F1DB2" w:rsidRPr="00DB6EB1">
        <w:rPr>
          <w:rFonts w:eastAsia="Arial" w:cs="Arial"/>
          <w:color w:val="231F20"/>
          <w:spacing w:val="2"/>
        </w:rPr>
        <w:t xml:space="preserve"> nicht mehr wie vom Netzbetreiber (NB), sondern dann vom Messstellenbetreiber</w:t>
      </w:r>
      <w:r w:rsidR="00626DA0">
        <w:rPr>
          <w:rFonts w:eastAsia="Arial" w:cs="Arial"/>
          <w:color w:val="231F20"/>
          <w:spacing w:val="2"/>
        </w:rPr>
        <w:t xml:space="preserve"> (MSB)</w:t>
      </w:r>
      <w:r w:rsidR="001F1DB2" w:rsidRPr="00DB6EB1">
        <w:rPr>
          <w:rFonts w:eastAsia="Arial" w:cs="Arial"/>
          <w:color w:val="231F20"/>
          <w:spacing w:val="2"/>
        </w:rPr>
        <w:t xml:space="preserve"> an die Berechtigten übersendet. </w:t>
      </w:r>
      <w:r w:rsidR="00301331" w:rsidRPr="00DB6EB1">
        <w:rPr>
          <w:rFonts w:eastAsia="Arial" w:cs="Arial"/>
          <w:color w:val="231F20"/>
          <w:spacing w:val="2"/>
        </w:rPr>
        <w:t>Außerp</w:t>
      </w:r>
      <w:r w:rsidR="004D0124" w:rsidRPr="00DB6EB1">
        <w:rPr>
          <w:rFonts w:eastAsia="Arial" w:cs="Arial"/>
          <w:color w:val="231F20"/>
          <w:spacing w:val="2"/>
        </w:rPr>
        <w:t>lanmäßige Ablesungen werden hie</w:t>
      </w:r>
      <w:r w:rsidR="00301331" w:rsidRPr="00DB6EB1">
        <w:rPr>
          <w:rFonts w:eastAsia="Arial" w:cs="Arial"/>
          <w:color w:val="231F20"/>
          <w:spacing w:val="2"/>
        </w:rPr>
        <w:t>r</w:t>
      </w:r>
      <w:r w:rsidR="004D0124" w:rsidRPr="00DB6EB1">
        <w:rPr>
          <w:rFonts w:eastAsia="Arial" w:cs="Arial"/>
          <w:color w:val="231F20"/>
          <w:spacing w:val="2"/>
        </w:rPr>
        <w:t xml:space="preserve"> </w:t>
      </w:r>
      <w:r w:rsidR="00301331" w:rsidRPr="00DB6EB1">
        <w:rPr>
          <w:rFonts w:eastAsia="Arial" w:cs="Arial"/>
          <w:color w:val="231F20"/>
          <w:spacing w:val="2"/>
        </w:rPr>
        <w:t xml:space="preserve">nicht aufgeführt, da diese </w:t>
      </w:r>
      <w:r w:rsidR="004D0124" w:rsidRPr="00DB6EB1">
        <w:rPr>
          <w:rFonts w:eastAsia="Arial" w:cs="Arial"/>
          <w:color w:val="231F20"/>
          <w:spacing w:val="2"/>
        </w:rPr>
        <w:t>auf Kundenwunsch“ bzw. Initiative des Kunden (bspw. Umzug) erfolgen.</w:t>
      </w:r>
    </w:p>
    <w:p w14:paraId="3F9CDAFD" w14:textId="77777777" w:rsidR="00E42D9F" w:rsidRDefault="00E42D9F" w:rsidP="0047201D">
      <w:pPr>
        <w:spacing w:after="0" w:line="24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249"/>
        <w:gridCol w:w="1269"/>
        <w:gridCol w:w="709"/>
        <w:gridCol w:w="1701"/>
        <w:gridCol w:w="851"/>
        <w:gridCol w:w="1559"/>
        <w:gridCol w:w="1843"/>
        <w:gridCol w:w="3118"/>
        <w:gridCol w:w="1814"/>
      </w:tblGrid>
      <w:tr w:rsidR="00501A04" w14:paraId="6BA5CF1D" w14:textId="77777777" w:rsidTr="00F11BC7">
        <w:trPr>
          <w:trHeight w:val="1242"/>
        </w:trPr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9E171" w14:textId="07D1D6A5" w:rsidR="00501A04" w:rsidRDefault="00F11BC7" w:rsidP="0047201D">
            <w:pPr>
              <w:spacing w:after="0" w:line="240" w:lineRule="auto"/>
              <w:jc w:val="center"/>
            </w:pPr>
            <w:r>
              <w:t>R</w:t>
            </w:r>
            <w:r w:rsidR="00501A04">
              <w:t>egelmäßige</w:t>
            </w:r>
            <w:r>
              <w:t xml:space="preserve"> </w:t>
            </w:r>
            <w:r w:rsidR="00501A04">
              <w:t>Datenkommunikation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679A9B78" w14:textId="77777777" w:rsidR="00501A04" w:rsidRDefault="00501A04" w:rsidP="0047201D">
            <w:pPr>
              <w:spacing w:after="0" w:line="240" w:lineRule="auto"/>
              <w:jc w:val="center"/>
            </w:pPr>
            <w:r>
              <w:t>Häufigkeit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14B2855" w14:textId="77777777" w:rsidR="00501A04" w:rsidRDefault="00501A04" w:rsidP="0047201D">
            <w:pPr>
              <w:spacing w:after="0" w:line="240" w:lineRule="auto"/>
              <w:jc w:val="center"/>
            </w:pPr>
            <w:r>
              <w:t xml:space="preserve">Stromverbrauch in kWh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570146" w14:textId="77777777" w:rsidR="00501A04" w:rsidRDefault="00501A04" w:rsidP="0047201D">
            <w:pPr>
              <w:spacing w:after="0" w:line="240" w:lineRule="auto"/>
            </w:pPr>
            <w:r>
              <w:t>Einspeisung (eingespeiste elektrische Arbeit in kWh)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D89D57" w14:textId="7D2B8399" w:rsidR="00501A04" w:rsidRDefault="00501A04" w:rsidP="0047201D">
            <w:pPr>
              <w:tabs>
                <w:tab w:val="left" w:pos="984"/>
              </w:tabs>
              <w:spacing w:after="0" w:line="240" w:lineRule="auto"/>
              <w:jc w:val="center"/>
            </w:pPr>
            <w:r>
              <w:t>Zweck</w:t>
            </w:r>
          </w:p>
          <w:p w14:paraId="6818F44F" w14:textId="77777777" w:rsidR="00501A04" w:rsidRDefault="00501A04" w:rsidP="0047201D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617582" w14:textId="77777777" w:rsidR="00501A04" w:rsidRDefault="00501A04" w:rsidP="0047201D">
            <w:pPr>
              <w:spacing w:after="0" w:line="240" w:lineRule="auto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5E5CAE6" w14:textId="77777777" w:rsidR="00501A04" w:rsidRDefault="00501A04" w:rsidP="0047201D">
            <w:pPr>
              <w:spacing w:after="0" w:line="240" w:lineRule="auto"/>
            </w:pPr>
          </w:p>
        </w:tc>
      </w:tr>
      <w:tr w:rsidR="00501A04" w14:paraId="20F76ED3" w14:textId="77777777" w:rsidTr="00F11BC7">
        <w:trPr>
          <w:cantSplit/>
          <w:trHeight w:val="1984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14:paraId="53078B83" w14:textId="77777777" w:rsidR="00501A04" w:rsidRDefault="001F1DB2" w:rsidP="0047201D">
            <w:pPr>
              <w:spacing w:after="0" w:line="240" w:lineRule="auto"/>
            </w:pPr>
            <w:r>
              <w:t>V</w:t>
            </w:r>
            <w:r w:rsidR="00501A04">
              <w:t>on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14:paraId="638003B8" w14:textId="77777777" w:rsidR="00501A04" w:rsidRDefault="001F1DB2" w:rsidP="0047201D">
            <w:pPr>
              <w:spacing w:after="0" w:line="240" w:lineRule="auto"/>
            </w:pPr>
            <w:r>
              <w:t>A</w:t>
            </w:r>
            <w:r w:rsidR="00501A04">
              <w:t>n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14:paraId="411B8F99" w14:textId="459D6249" w:rsidR="00501A04" w:rsidRDefault="00501A04" w:rsidP="0047201D">
            <w:pPr>
              <w:spacing w:after="0" w:line="240" w:lineRule="auto"/>
            </w:pPr>
            <w:r>
              <w:t>(täglich / monatlich</w:t>
            </w:r>
            <w:r w:rsidR="00F11BC7">
              <w:t xml:space="preserve"> </w:t>
            </w:r>
            <w:r>
              <w:t xml:space="preserve">/ jährlich)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6CF3E8E4" w14:textId="5774E83B" w:rsidR="00501A04" w:rsidRDefault="00501A04" w:rsidP="0047201D">
            <w:pPr>
              <w:spacing w:after="0" w:line="240" w:lineRule="auto"/>
              <w:ind w:left="113" w:right="113"/>
            </w:pPr>
            <w:r>
              <w:t xml:space="preserve">Bis einschließlich </w:t>
            </w:r>
            <w:r w:rsidR="00F11BC7">
              <w:t>10.000 kWh</w:t>
            </w:r>
            <w:r>
              <w:t>/a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</w:tcPr>
          <w:p w14:paraId="4001D003" w14:textId="3C525999" w:rsidR="00501A04" w:rsidRPr="00303256" w:rsidRDefault="00501A04" w:rsidP="0047201D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03256">
              <w:rPr>
                <w:sz w:val="18"/>
                <w:szCs w:val="18"/>
              </w:rPr>
              <w:t xml:space="preserve">über </w:t>
            </w:r>
            <w:r w:rsidR="00F11BC7">
              <w:rPr>
                <w:sz w:val="18"/>
                <w:szCs w:val="18"/>
              </w:rPr>
              <w:t>10.000 kWh/</w:t>
            </w:r>
            <w:r w:rsidRPr="00303256">
              <w:rPr>
                <w:sz w:val="18"/>
                <w:szCs w:val="18"/>
              </w:rPr>
              <w:t>a</w:t>
            </w:r>
            <w:r w:rsidR="00F11BC7">
              <w:rPr>
                <w:sz w:val="18"/>
                <w:szCs w:val="18"/>
              </w:rPr>
              <w:t xml:space="preserve"> </w:t>
            </w:r>
            <w:r w:rsidRPr="00303256">
              <w:rPr>
                <w:sz w:val="18"/>
                <w:szCs w:val="18"/>
              </w:rPr>
              <w:t xml:space="preserve">bis einschließlich 100.000 </w:t>
            </w:r>
            <w:r w:rsidR="00F11BC7">
              <w:rPr>
                <w:sz w:val="18"/>
                <w:szCs w:val="18"/>
              </w:rPr>
              <w:t>kWh</w:t>
            </w:r>
            <w:r w:rsidRPr="00303256">
              <w:rPr>
                <w:sz w:val="18"/>
                <w:szCs w:val="18"/>
              </w:rPr>
              <w:t>/a</w:t>
            </w:r>
            <w:r w:rsidR="00E5160E" w:rsidRPr="00303256">
              <w:rPr>
                <w:sz w:val="18"/>
                <w:szCs w:val="18"/>
              </w:rPr>
              <w:t xml:space="preserve"> oder nach</w:t>
            </w:r>
            <w:r w:rsidR="00F54F01">
              <w:rPr>
                <w:sz w:val="18"/>
                <w:szCs w:val="18"/>
              </w:rPr>
              <w:t xml:space="preserve"> </w:t>
            </w:r>
            <w:r w:rsidR="00E5160E" w:rsidRPr="00303256">
              <w:rPr>
                <w:sz w:val="18"/>
                <w:szCs w:val="18"/>
              </w:rPr>
              <w:t>Ausübung des Wahlrechts durch den LF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2F5DB2BD" w14:textId="3834617D" w:rsidR="00501A04" w:rsidRDefault="00501A04" w:rsidP="0047201D">
            <w:pPr>
              <w:spacing w:after="0" w:line="240" w:lineRule="auto"/>
              <w:ind w:left="113" w:right="113"/>
            </w:pPr>
            <w:r>
              <w:t xml:space="preserve">über </w:t>
            </w:r>
            <w:r w:rsidR="002238B3">
              <w:t>100.000 kWh/</w:t>
            </w:r>
            <w: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9ECEB5" w14:textId="77777777" w:rsidR="00501A04" w:rsidRDefault="00501A04" w:rsidP="0047201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6CCB9F" w14:textId="77777777" w:rsidR="00501A04" w:rsidRDefault="00501A04" w:rsidP="0047201D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BCC72BF" w14:textId="4A252779" w:rsidR="00501A04" w:rsidRDefault="002238B3" w:rsidP="0047201D">
            <w:pPr>
              <w:spacing w:after="0" w:line="240" w:lineRule="auto"/>
              <w:jc w:val="center"/>
            </w:pPr>
            <w:r>
              <w:t xml:space="preserve">Verarbeitete </w:t>
            </w:r>
            <w:r w:rsidR="00501A04">
              <w:t>Daten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D5AD702" w14:textId="0DA54E70" w:rsidR="00501A04" w:rsidRDefault="00303256" w:rsidP="0047201D">
            <w:pPr>
              <w:spacing w:after="0" w:line="240" w:lineRule="auto"/>
              <w:jc w:val="center"/>
            </w:pPr>
            <w:r>
              <w:t>Tarif</w:t>
            </w:r>
            <w:r w:rsidR="00F11BC7">
              <w:t>-</w:t>
            </w:r>
            <w:r>
              <w:t>anwendungsfall (</w:t>
            </w:r>
            <w:r w:rsidR="00501A04">
              <w:t>TAF</w:t>
            </w:r>
            <w:r>
              <w:t>)</w:t>
            </w:r>
            <w:r w:rsidR="00F11BC7">
              <w:t xml:space="preserve"> </w:t>
            </w:r>
            <w:r w:rsidR="00501A04">
              <w:t>(Bezeichnung nach GPKE)</w:t>
            </w:r>
          </w:p>
        </w:tc>
      </w:tr>
      <w:tr w:rsidR="00501A04" w14:paraId="26C4886E" w14:textId="77777777" w:rsidTr="00823F56">
        <w:tc>
          <w:tcPr>
            <w:tcW w:w="879" w:type="dxa"/>
            <w:shd w:val="clear" w:color="auto" w:fill="auto"/>
            <w:vAlign w:val="center"/>
          </w:tcPr>
          <w:p w14:paraId="4F635B4F" w14:textId="43FF2B37" w:rsidR="00501A04" w:rsidRDefault="00501A04" w:rsidP="0047201D">
            <w:pPr>
              <w:spacing w:after="0" w:line="240" w:lineRule="auto"/>
              <w:jc w:val="center"/>
            </w:pPr>
            <w:r>
              <w:t>N</w:t>
            </w:r>
            <w:r w:rsidR="00303256">
              <w:t>etzbetreiber</w:t>
            </w:r>
            <w:r w:rsidR="00303256">
              <w:br/>
              <w:t>(N</w:t>
            </w:r>
            <w:r>
              <w:t>B</w:t>
            </w:r>
            <w:r w:rsidR="00303256">
              <w:t>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1B2CA8E" w14:textId="7751087F" w:rsidR="00501A04" w:rsidRDefault="00501A04" w:rsidP="0047201D">
            <w:pPr>
              <w:spacing w:after="0" w:line="240" w:lineRule="auto"/>
              <w:jc w:val="center"/>
            </w:pPr>
            <w:r>
              <w:t>Lieferant</w:t>
            </w:r>
            <w:r w:rsidR="00802DAD">
              <w:br/>
              <w:t>(LF)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116FCB" w14:textId="77777777" w:rsidR="00501A04" w:rsidRDefault="00501A04" w:rsidP="0047201D">
            <w:pPr>
              <w:spacing w:after="0" w:line="240" w:lineRule="auto"/>
              <w:jc w:val="center"/>
            </w:pPr>
            <w:r>
              <w:t>monatlich</w:t>
            </w:r>
          </w:p>
        </w:tc>
        <w:tc>
          <w:tcPr>
            <w:tcW w:w="709" w:type="dxa"/>
            <w:vAlign w:val="center"/>
          </w:tcPr>
          <w:p w14:paraId="3EFAA027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center"/>
          </w:tcPr>
          <w:p w14:paraId="2FDED71A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EEDF9B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050B02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84336D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Bilanzierung / Abrechnung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(Netznutzung)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B5C56D" w14:textId="77777777" w:rsidR="00501A04" w:rsidRDefault="00501A04" w:rsidP="0047201D">
            <w:pPr>
              <w:spacing w:after="0" w:line="240" w:lineRule="auto"/>
              <w:jc w:val="center"/>
            </w:pPr>
            <w:r>
              <w:t>Gesamtzählerstand des Zählers zum Monatsersten 0:00 Uhr</w:t>
            </w:r>
          </w:p>
          <w:p w14:paraId="4B639E7E" w14:textId="39AEE2E4" w:rsidR="00501A04" w:rsidRDefault="00501A04" w:rsidP="0047201D">
            <w:pPr>
              <w:spacing w:after="0" w:line="240" w:lineRule="auto"/>
              <w:jc w:val="center"/>
            </w:pPr>
            <w:r>
              <w:t>Zusätzlich bei Doppeltarif: den HT-Registerstand, den NT</w:t>
            </w:r>
            <w:r w:rsidR="00F11BC7">
              <w:t>-</w:t>
            </w:r>
            <w:r>
              <w:t xml:space="preserve">Registerstand sowie den Fehlerregisterstand </w:t>
            </w:r>
          </w:p>
          <w:p w14:paraId="4D2FF457" w14:textId="664DAE5A" w:rsidR="00501A04" w:rsidRDefault="00501A04" w:rsidP="0047201D">
            <w:pPr>
              <w:spacing w:after="0" w:line="240" w:lineRule="auto"/>
              <w:jc w:val="center"/>
            </w:pPr>
            <w:r>
              <w:t>Zusätzlich bei Bilanzierungsgrundlage</w:t>
            </w:r>
            <w:r w:rsidR="00F11BC7">
              <w:t>:</w:t>
            </w:r>
            <w:r>
              <w:t xml:space="preserve"> </w:t>
            </w:r>
            <w:r w:rsidRPr="00263B82">
              <w:t>Registrierende Leistungsmessung (RLM</w:t>
            </w:r>
            <w:r>
              <w:t>)</w:t>
            </w:r>
          </w:p>
        </w:tc>
        <w:tc>
          <w:tcPr>
            <w:tcW w:w="1814" w:type="dxa"/>
          </w:tcPr>
          <w:p w14:paraId="43BD91EF" w14:textId="77777777" w:rsidR="00501A04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1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(MÜ-D)</w:t>
            </w:r>
          </w:p>
          <w:p w14:paraId="5A945FFB" w14:textId="77777777" w:rsidR="00501A04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2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(MÜ-E)</w:t>
            </w:r>
          </w:p>
          <w:p w14:paraId="0932F814" w14:textId="77777777" w:rsidR="00501A04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  <w:p w14:paraId="0363CD38" w14:textId="70ED9C58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7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</w:r>
            <w:r w:rsidR="0024158B">
              <w:rPr>
                <w:rFonts w:eastAsia="Arial" w:cs="Arial"/>
                <w:color w:val="231F20"/>
                <w:spacing w:val="2"/>
                <w:sz w:val="18"/>
                <w:szCs w:val="18"/>
              </w:rPr>
              <w:t>(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MÜ-B</w:t>
            </w:r>
            <w:r w:rsidR="00303256">
              <w:rPr>
                <w:rFonts w:eastAsia="Arial" w:cs="Arial"/>
                <w:color w:val="231F20"/>
                <w:spacing w:val="2"/>
                <w:sz w:val="18"/>
                <w:szCs w:val="18"/>
              </w:rPr>
              <w:t>)</w:t>
            </w:r>
          </w:p>
        </w:tc>
      </w:tr>
      <w:tr w:rsidR="00501A04" w14:paraId="07FEE5B8" w14:textId="77777777" w:rsidTr="00F11BC7">
        <w:tc>
          <w:tcPr>
            <w:tcW w:w="879" w:type="dxa"/>
            <w:shd w:val="clear" w:color="auto" w:fill="auto"/>
          </w:tcPr>
          <w:p w14:paraId="5CB2A872" w14:textId="13479297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CF4F800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DB08FD" w14:textId="77777777" w:rsidR="00501A04" w:rsidRDefault="00501A04" w:rsidP="0047201D">
            <w:pPr>
              <w:spacing w:after="0" w:line="240" w:lineRule="auto"/>
              <w:jc w:val="center"/>
            </w:pPr>
            <w:r>
              <w:t>monatlich</w:t>
            </w:r>
          </w:p>
        </w:tc>
        <w:tc>
          <w:tcPr>
            <w:tcW w:w="709" w:type="dxa"/>
            <w:vAlign w:val="center"/>
          </w:tcPr>
          <w:p w14:paraId="29F4CED1" w14:textId="77777777" w:rsidR="00501A04" w:rsidRPr="0025741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FAEF9F9" w14:textId="77777777" w:rsidR="00501A04" w:rsidRPr="00257414" w:rsidRDefault="00501A04" w:rsidP="0047201D">
            <w:pPr>
              <w:spacing w:after="0" w:line="240" w:lineRule="auto"/>
              <w:jc w:val="center"/>
            </w:pPr>
            <w:r w:rsidRPr="00257414">
              <w:t>X</w:t>
            </w:r>
          </w:p>
        </w:tc>
        <w:tc>
          <w:tcPr>
            <w:tcW w:w="851" w:type="dxa"/>
            <w:vAlign w:val="center"/>
          </w:tcPr>
          <w:p w14:paraId="66B89B53" w14:textId="77777777" w:rsidR="00501A04" w:rsidRPr="0025741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532B9F22" w14:textId="77777777" w:rsidR="00501A04" w:rsidRPr="0025741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B84CF57" w14:textId="77777777" w:rsidR="00501A04" w:rsidRPr="00257414" w:rsidRDefault="00501A04" w:rsidP="0047201D">
            <w:pPr>
              <w:spacing w:after="0" w:line="240" w:lineRule="auto"/>
              <w:jc w:val="center"/>
            </w:pPr>
            <w:r w:rsidRPr="00257414">
              <w:t>Abrechnung</w:t>
            </w:r>
            <w:r w:rsidRPr="00257414">
              <w:br/>
              <w:t xml:space="preserve">(Netznutzung)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131D57" w14:textId="77777777" w:rsidR="00501A04" w:rsidRDefault="00501A04" w:rsidP="0047201D">
            <w:pPr>
              <w:spacing w:after="0" w:line="240" w:lineRule="auto"/>
              <w:jc w:val="center"/>
            </w:pPr>
            <w:r>
              <w:t>Gesamtzählerstand des Zählers zum Monatsersten 0:00 Uhr</w:t>
            </w:r>
          </w:p>
          <w:p w14:paraId="15595931" w14:textId="77777777" w:rsidR="00501A04" w:rsidRDefault="00501A04" w:rsidP="0047201D">
            <w:pPr>
              <w:spacing w:after="0" w:line="240" w:lineRule="auto"/>
              <w:jc w:val="center"/>
            </w:pPr>
            <w:r>
              <w:t>Zusätzlich bei Doppeltarif: den HT-Registerstand, den NT Registerstand sowie den Fehlerregisterstand</w:t>
            </w:r>
          </w:p>
        </w:tc>
        <w:tc>
          <w:tcPr>
            <w:tcW w:w="1814" w:type="dxa"/>
            <w:vAlign w:val="center"/>
          </w:tcPr>
          <w:p w14:paraId="1FBF6453" w14:textId="77777777" w:rsidR="00501A04" w:rsidRPr="00257414" w:rsidRDefault="00501A04" w:rsidP="0047201D">
            <w:pPr>
              <w:spacing w:after="0" w:line="240" w:lineRule="auto"/>
              <w:jc w:val="center"/>
            </w:pPr>
            <w:r w:rsidRPr="00257414">
              <w:t>TAF 1</w:t>
            </w:r>
            <w:r w:rsidRPr="00257414">
              <w:br/>
              <w:t>(MÜ-B)</w:t>
            </w:r>
          </w:p>
          <w:p w14:paraId="0C788E7C" w14:textId="77777777" w:rsidR="00501A04" w:rsidRPr="00257414" w:rsidRDefault="00501A04" w:rsidP="0047201D">
            <w:pPr>
              <w:spacing w:after="0" w:line="240" w:lineRule="auto"/>
              <w:jc w:val="center"/>
            </w:pPr>
            <w:r w:rsidRPr="00257414">
              <w:t>TAF 2</w:t>
            </w:r>
            <w:r w:rsidRPr="00257414">
              <w:br/>
              <w:t>(MÜ-C)</w:t>
            </w:r>
          </w:p>
        </w:tc>
      </w:tr>
      <w:tr w:rsidR="00501A04" w14:paraId="142F0D2E" w14:textId="77777777" w:rsidTr="00F11BC7">
        <w:tc>
          <w:tcPr>
            <w:tcW w:w="879" w:type="dxa"/>
            <w:shd w:val="clear" w:color="auto" w:fill="auto"/>
            <w:vAlign w:val="center"/>
          </w:tcPr>
          <w:p w14:paraId="58BF7FEF" w14:textId="46653876" w:rsidR="00501A04" w:rsidRDefault="00501A04" w:rsidP="0047201D">
            <w:pPr>
              <w:spacing w:after="0" w:line="240" w:lineRule="auto"/>
              <w:jc w:val="center"/>
            </w:pPr>
            <w:r>
              <w:lastRenderedPageBreak/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9BE797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91057B0" w14:textId="77777777" w:rsidR="00501A04" w:rsidRDefault="00501A04" w:rsidP="0047201D">
            <w:pPr>
              <w:spacing w:after="0" w:line="240" w:lineRule="auto"/>
              <w:jc w:val="center"/>
            </w:pPr>
            <w:r>
              <w:t>täglich</w:t>
            </w:r>
          </w:p>
        </w:tc>
        <w:tc>
          <w:tcPr>
            <w:tcW w:w="709" w:type="dxa"/>
            <w:vAlign w:val="center"/>
          </w:tcPr>
          <w:p w14:paraId="5300A785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277614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13E9B22A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64A105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81F34A" w14:textId="77777777" w:rsidR="00945823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Bilanzierung</w:t>
            </w:r>
            <w:r w:rsidR="00945823">
              <w:rPr>
                <w:rStyle w:val="Funotenzeichen"/>
                <w:rFonts w:eastAsia="Arial" w:cs="Arial"/>
                <w:color w:val="231F20"/>
                <w:spacing w:val="2"/>
                <w:sz w:val="18"/>
                <w:szCs w:val="18"/>
              </w:rPr>
              <w:footnoteReference w:id="2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5F39BF" w14:textId="77777777" w:rsidR="00501A04" w:rsidRDefault="00501A04" w:rsidP="0047201D">
            <w:pPr>
              <w:spacing w:after="0" w:line="240" w:lineRule="auto"/>
              <w:jc w:val="center"/>
            </w:pPr>
            <w:r>
              <w:t>¼ h-</w:t>
            </w:r>
            <w:proofErr w:type="spellStart"/>
            <w:r>
              <w:t>Lastgang</w:t>
            </w:r>
            <w:proofErr w:type="spellEnd"/>
            <w:r>
              <w:t xml:space="preserve"> in kWh </w:t>
            </w:r>
          </w:p>
        </w:tc>
        <w:tc>
          <w:tcPr>
            <w:tcW w:w="1814" w:type="dxa"/>
            <w:vAlign w:val="center"/>
          </w:tcPr>
          <w:p w14:paraId="2E372263" w14:textId="77777777" w:rsidR="00501A04" w:rsidRPr="00EC4DB9" w:rsidRDefault="00501A04" w:rsidP="0047201D">
            <w:pPr>
              <w:spacing w:after="0" w:line="240" w:lineRule="auto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7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(MÜ-B</w:t>
            </w:r>
            <w:r w:rsidR="00E5160E">
              <w:rPr>
                <w:rFonts w:eastAsia="Arial" w:cs="Arial"/>
                <w:color w:val="231F20"/>
                <w:spacing w:val="2"/>
                <w:sz w:val="18"/>
                <w:szCs w:val="18"/>
              </w:rPr>
              <w:t>/C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)</w:t>
            </w:r>
          </w:p>
        </w:tc>
      </w:tr>
      <w:tr w:rsidR="00501A04" w14:paraId="604CFEFF" w14:textId="77777777" w:rsidTr="00F11BC7">
        <w:tc>
          <w:tcPr>
            <w:tcW w:w="879" w:type="dxa"/>
            <w:shd w:val="clear" w:color="auto" w:fill="auto"/>
            <w:vAlign w:val="center"/>
          </w:tcPr>
          <w:p w14:paraId="6C194FB0" w14:textId="3433D5EB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12F2B3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BF575E6" w14:textId="77777777" w:rsidR="00501A04" w:rsidRDefault="00501A04" w:rsidP="0047201D">
            <w:pPr>
              <w:spacing w:after="0" w:line="240" w:lineRule="auto"/>
              <w:jc w:val="center"/>
            </w:pPr>
            <w:r>
              <w:t>monatlich</w:t>
            </w:r>
          </w:p>
        </w:tc>
        <w:tc>
          <w:tcPr>
            <w:tcW w:w="709" w:type="dxa"/>
            <w:vAlign w:val="center"/>
          </w:tcPr>
          <w:p w14:paraId="22B8CD3A" w14:textId="77777777" w:rsidR="00501A04" w:rsidRDefault="00501A04" w:rsidP="0047201D">
            <w:pPr>
              <w:spacing w:after="0" w:line="240" w:lineRule="auto"/>
              <w:ind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A5E74A" w14:textId="77777777" w:rsidR="00501A04" w:rsidRDefault="00501A04" w:rsidP="0047201D">
            <w:pPr>
              <w:spacing w:after="0" w:line="240" w:lineRule="auto"/>
              <w:ind w:left="2"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A6C4B8" w14:textId="77777777" w:rsidR="00501A04" w:rsidRDefault="00501A04" w:rsidP="0047201D">
            <w:pPr>
              <w:spacing w:after="0" w:line="240" w:lineRule="auto"/>
              <w:ind w:left="2"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29D5A195" w14:textId="77777777" w:rsidR="00501A04" w:rsidRDefault="00501A04" w:rsidP="0047201D">
            <w:pPr>
              <w:spacing w:after="0" w:line="240" w:lineRule="auto"/>
              <w:ind w:left="2"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A4A9B3" w14:textId="77777777" w:rsidR="00501A04" w:rsidRDefault="00501A04" w:rsidP="0047201D">
            <w:pPr>
              <w:spacing w:after="0" w:line="240" w:lineRule="auto"/>
              <w:ind w:left="2"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 xml:space="preserve">Plausibilisierung </w:t>
            </w:r>
            <w:proofErr w:type="spellStart"/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Lastgang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F0EDFF6" w14:textId="77777777" w:rsidR="00501A04" w:rsidRDefault="00501A04" w:rsidP="0047201D">
            <w:pPr>
              <w:spacing w:after="0" w:line="240" w:lineRule="auto"/>
              <w:ind w:left="239" w:right="-20"/>
              <w:jc w:val="center"/>
            </w:pPr>
            <w:r>
              <w:t>Gesamtzählerstand des Zählers zum Monatsersten 0:00 Uhr</w:t>
            </w:r>
          </w:p>
        </w:tc>
        <w:tc>
          <w:tcPr>
            <w:tcW w:w="1814" w:type="dxa"/>
            <w:vAlign w:val="center"/>
          </w:tcPr>
          <w:p w14:paraId="58B2D973" w14:textId="77777777" w:rsidR="00501A04" w:rsidRDefault="00501A04" w:rsidP="0047201D">
            <w:pPr>
              <w:spacing w:after="0" w:line="240" w:lineRule="auto"/>
              <w:ind w:left="2" w:right="286"/>
              <w:jc w:val="center"/>
              <w:rPr>
                <w:rFonts w:eastAsia="Arial" w:cs="Arial"/>
                <w:color w:val="231F20"/>
                <w:spacing w:val="2"/>
                <w:sz w:val="18"/>
                <w:szCs w:val="18"/>
              </w:rPr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1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(MÜ-A)</w:t>
            </w:r>
          </w:p>
        </w:tc>
      </w:tr>
      <w:tr w:rsidR="00501A04" w14:paraId="07260A9B" w14:textId="77777777" w:rsidTr="00F11BC7">
        <w:tc>
          <w:tcPr>
            <w:tcW w:w="879" w:type="dxa"/>
            <w:shd w:val="clear" w:color="auto" w:fill="auto"/>
            <w:vAlign w:val="center"/>
          </w:tcPr>
          <w:p w14:paraId="04DF5DE6" w14:textId="43A2640C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21EB31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84877D7" w14:textId="77777777" w:rsidR="00501A04" w:rsidRDefault="00501A04" w:rsidP="0047201D">
            <w:pPr>
              <w:spacing w:after="0" w:line="240" w:lineRule="auto"/>
              <w:jc w:val="center"/>
            </w:pPr>
            <w:r>
              <w:t>täglich</w:t>
            </w:r>
          </w:p>
        </w:tc>
        <w:tc>
          <w:tcPr>
            <w:tcW w:w="709" w:type="dxa"/>
            <w:vAlign w:val="center"/>
          </w:tcPr>
          <w:p w14:paraId="2F2A400F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2E847D6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14:paraId="24187BB1" w14:textId="77777777" w:rsidR="00501A04" w:rsidRDefault="00501A04" w:rsidP="0047201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5A4DE974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A01E1CD" w14:textId="77777777" w:rsidR="00501A04" w:rsidRDefault="00501A04" w:rsidP="0047201D">
            <w:pPr>
              <w:spacing w:after="0" w:line="240" w:lineRule="auto"/>
              <w:jc w:val="center"/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Bilanzierung / Abrechnung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(Netznutzung)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406D6F" w14:textId="77777777" w:rsidR="00501A04" w:rsidRDefault="00501A04" w:rsidP="0047201D">
            <w:pPr>
              <w:spacing w:after="0" w:line="240" w:lineRule="auto"/>
              <w:jc w:val="center"/>
            </w:pPr>
            <w:r>
              <w:t>¼ h-</w:t>
            </w:r>
            <w:proofErr w:type="spellStart"/>
            <w:r>
              <w:t>Lastgang</w:t>
            </w:r>
            <w:proofErr w:type="spellEnd"/>
            <w:r>
              <w:t xml:space="preserve"> in kWh</w:t>
            </w:r>
          </w:p>
        </w:tc>
        <w:tc>
          <w:tcPr>
            <w:tcW w:w="1814" w:type="dxa"/>
            <w:vAlign w:val="center"/>
          </w:tcPr>
          <w:p w14:paraId="03B30DD3" w14:textId="77777777" w:rsidR="00501A04" w:rsidRDefault="00501A04" w:rsidP="0047201D">
            <w:pPr>
              <w:spacing w:after="0" w:line="240" w:lineRule="auto"/>
              <w:jc w:val="center"/>
            </w:pP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t>TAF 7</w:t>
            </w:r>
            <w:r>
              <w:rPr>
                <w:rFonts w:eastAsia="Arial" w:cs="Arial"/>
                <w:color w:val="231F20"/>
                <w:spacing w:val="2"/>
                <w:sz w:val="18"/>
                <w:szCs w:val="18"/>
              </w:rPr>
              <w:br/>
              <w:t>(MÜ-A)</w:t>
            </w:r>
          </w:p>
        </w:tc>
      </w:tr>
      <w:tr w:rsidR="00501A04" w14:paraId="12ED901F" w14:textId="77777777" w:rsidTr="00F11BC7">
        <w:tc>
          <w:tcPr>
            <w:tcW w:w="879" w:type="dxa"/>
            <w:shd w:val="clear" w:color="auto" w:fill="auto"/>
            <w:vAlign w:val="center"/>
          </w:tcPr>
          <w:p w14:paraId="5971A390" w14:textId="47E50BBB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79CC18C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Lieferant/</w:t>
            </w:r>
            <w:r>
              <w:br/>
              <w:t>NB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BA09D3" w14:textId="77777777" w:rsidR="00501A04" w:rsidRDefault="00501A04" w:rsidP="0047201D">
            <w:pPr>
              <w:spacing w:after="0" w:line="240" w:lineRule="auto"/>
              <w:jc w:val="center"/>
            </w:pPr>
            <w:r>
              <w:t>monatlich</w:t>
            </w:r>
          </w:p>
        </w:tc>
        <w:tc>
          <w:tcPr>
            <w:tcW w:w="709" w:type="dxa"/>
            <w:vAlign w:val="center"/>
          </w:tcPr>
          <w:p w14:paraId="2317C822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658A14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14:paraId="6C6F1746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7CDCDBDA" w14:textId="77777777" w:rsidR="00501A04" w:rsidRDefault="00501A04" w:rsidP="0047201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14:paraId="3FEB2B1D" w14:textId="77777777" w:rsidR="00501A04" w:rsidRPr="00B75D9D" w:rsidRDefault="00501A04" w:rsidP="00472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D9D">
              <w:rPr>
                <w:sz w:val="18"/>
                <w:szCs w:val="18"/>
              </w:rPr>
              <w:t>Plausibilis</w:t>
            </w:r>
            <w:r>
              <w:rPr>
                <w:sz w:val="18"/>
                <w:szCs w:val="18"/>
              </w:rPr>
              <w:t>i</w:t>
            </w:r>
            <w:r w:rsidRPr="00B75D9D">
              <w:rPr>
                <w:sz w:val="18"/>
                <w:szCs w:val="18"/>
              </w:rPr>
              <w:t xml:space="preserve">erung </w:t>
            </w:r>
            <w:proofErr w:type="spellStart"/>
            <w:r w:rsidRPr="00B75D9D">
              <w:rPr>
                <w:sz w:val="18"/>
                <w:szCs w:val="18"/>
              </w:rPr>
              <w:t>Lastgang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BE1C72F" w14:textId="77777777" w:rsidR="00501A04" w:rsidRDefault="00501A04" w:rsidP="0047201D">
            <w:pPr>
              <w:spacing w:after="0" w:line="240" w:lineRule="auto"/>
              <w:jc w:val="center"/>
            </w:pPr>
            <w:r>
              <w:t>Gesamtzählerstand des Zählers zum Monatsersten 0:00 Uhr</w:t>
            </w:r>
          </w:p>
        </w:tc>
        <w:tc>
          <w:tcPr>
            <w:tcW w:w="1814" w:type="dxa"/>
            <w:vAlign w:val="center"/>
          </w:tcPr>
          <w:p w14:paraId="5FA33322" w14:textId="77777777" w:rsidR="00501A04" w:rsidRDefault="00501A04" w:rsidP="0047201D">
            <w:pPr>
              <w:spacing w:after="0" w:line="240" w:lineRule="auto"/>
              <w:jc w:val="center"/>
            </w:pPr>
            <w:r>
              <w:t>TAF 1</w:t>
            </w:r>
            <w:r>
              <w:br/>
              <w:t>(MÜ-F)</w:t>
            </w:r>
          </w:p>
        </w:tc>
      </w:tr>
      <w:tr w:rsidR="00501A04" w14:paraId="4F229D84" w14:textId="77777777" w:rsidTr="00F11BC7">
        <w:tc>
          <w:tcPr>
            <w:tcW w:w="879" w:type="dxa"/>
            <w:shd w:val="clear" w:color="auto" w:fill="auto"/>
            <w:vAlign w:val="center"/>
          </w:tcPr>
          <w:p w14:paraId="3EBEB6E6" w14:textId="38FFE9F0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7B73E4" w14:textId="77777777" w:rsidR="00501A04" w:rsidRDefault="00501A04" w:rsidP="0047201D">
            <w:pPr>
              <w:spacing w:after="0" w:line="240" w:lineRule="auto"/>
              <w:jc w:val="center"/>
            </w:pPr>
            <w:r>
              <w:t>Lieferant/</w:t>
            </w:r>
            <w:r>
              <w:br/>
              <w:t>NB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19BF9A" w14:textId="77777777" w:rsidR="00501A04" w:rsidRDefault="00501A04" w:rsidP="0047201D">
            <w:pPr>
              <w:spacing w:after="0" w:line="240" w:lineRule="auto"/>
              <w:jc w:val="center"/>
            </w:pPr>
            <w:r>
              <w:t>täglich</w:t>
            </w:r>
          </w:p>
        </w:tc>
        <w:tc>
          <w:tcPr>
            <w:tcW w:w="709" w:type="dxa"/>
            <w:vAlign w:val="center"/>
          </w:tcPr>
          <w:p w14:paraId="62D8659D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2BF1CBE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14:paraId="18BE5D4C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5A0DEFE5" w14:textId="77777777" w:rsidR="00501A04" w:rsidRDefault="00501A04" w:rsidP="0047201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14:paraId="63B90260" w14:textId="77777777" w:rsidR="00501A04" w:rsidRDefault="00501A04" w:rsidP="0047201D">
            <w:pPr>
              <w:spacing w:after="0" w:line="240" w:lineRule="auto"/>
              <w:jc w:val="center"/>
            </w:pPr>
            <w:r>
              <w:t>Bilanzierung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9D0314" w14:textId="77777777" w:rsidR="00501A04" w:rsidRDefault="00501A04" w:rsidP="0047201D">
            <w:pPr>
              <w:spacing w:after="0" w:line="240" w:lineRule="auto"/>
              <w:jc w:val="center"/>
            </w:pPr>
            <w:r>
              <w:t>¼ h-</w:t>
            </w:r>
            <w:proofErr w:type="spellStart"/>
            <w:r>
              <w:t>Lastgang</w:t>
            </w:r>
            <w:proofErr w:type="spellEnd"/>
            <w:r>
              <w:t xml:space="preserve"> in kWh</w:t>
            </w:r>
          </w:p>
        </w:tc>
        <w:tc>
          <w:tcPr>
            <w:tcW w:w="1814" w:type="dxa"/>
            <w:vAlign w:val="center"/>
          </w:tcPr>
          <w:p w14:paraId="618BE6D0" w14:textId="77777777" w:rsidR="00501A04" w:rsidRDefault="00501A04" w:rsidP="0047201D">
            <w:pPr>
              <w:spacing w:after="0" w:line="240" w:lineRule="auto"/>
              <w:jc w:val="center"/>
            </w:pPr>
            <w:r>
              <w:t>TAF 7</w:t>
            </w:r>
            <w:r>
              <w:br/>
              <w:t>(MÜ-F)</w:t>
            </w:r>
          </w:p>
        </w:tc>
      </w:tr>
      <w:tr w:rsidR="00501A04" w14:paraId="1639BB49" w14:textId="77777777" w:rsidTr="00F11BC7">
        <w:tc>
          <w:tcPr>
            <w:tcW w:w="879" w:type="dxa"/>
            <w:shd w:val="clear" w:color="auto" w:fill="auto"/>
            <w:vAlign w:val="center"/>
          </w:tcPr>
          <w:p w14:paraId="7E01B6A1" w14:textId="4CBE7055" w:rsidR="00501A04" w:rsidRDefault="00501A04" w:rsidP="0047201D">
            <w:pPr>
              <w:spacing w:after="0" w:line="240" w:lineRule="auto"/>
              <w:jc w:val="center"/>
            </w:pPr>
            <w:r>
              <w:t>NB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C82AFD" w14:textId="77777777" w:rsidR="00501A04" w:rsidRDefault="00501A04" w:rsidP="0047201D">
            <w:pPr>
              <w:spacing w:after="0" w:line="240" w:lineRule="auto"/>
              <w:jc w:val="center"/>
            </w:pPr>
            <w:r>
              <w:t>Übertragungsnetzbetreiber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25DFFC" w14:textId="77777777" w:rsidR="00501A04" w:rsidRDefault="00501A04" w:rsidP="0047201D">
            <w:pPr>
              <w:spacing w:after="0" w:line="240" w:lineRule="auto"/>
              <w:jc w:val="center"/>
            </w:pPr>
            <w:r>
              <w:t>täglich</w:t>
            </w:r>
          </w:p>
        </w:tc>
        <w:tc>
          <w:tcPr>
            <w:tcW w:w="709" w:type="dxa"/>
            <w:vAlign w:val="center"/>
          </w:tcPr>
          <w:p w14:paraId="6C0EA99A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98D57E2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14:paraId="0E7131FA" w14:textId="77777777" w:rsidR="00501A04" w:rsidRDefault="00501A04" w:rsidP="0047201D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796F221" w14:textId="77777777" w:rsidR="00501A04" w:rsidRDefault="00501A04" w:rsidP="0047201D">
            <w:pPr>
              <w:spacing w:after="0" w:line="240" w:lineRule="auto"/>
              <w:jc w:val="center"/>
            </w:pPr>
            <w:r>
              <w:t>X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843" w:type="dxa"/>
            <w:vAlign w:val="center"/>
          </w:tcPr>
          <w:p w14:paraId="64D39934" w14:textId="40E8460B" w:rsidR="00501A04" w:rsidRDefault="001F1DB2" w:rsidP="0047201D">
            <w:pPr>
              <w:spacing w:after="0" w:line="240" w:lineRule="auto"/>
              <w:jc w:val="center"/>
            </w:pPr>
            <w:r>
              <w:t>EE-Prognose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A94918" w14:textId="29D3F3AE" w:rsidR="00501A04" w:rsidRDefault="00CC0FC6" w:rsidP="0047201D">
            <w:pPr>
              <w:spacing w:after="0" w:line="240" w:lineRule="auto"/>
              <w:jc w:val="center"/>
            </w:pPr>
            <w:proofErr w:type="spellStart"/>
            <w:r>
              <w:t>Zählerstandsgang</w:t>
            </w:r>
            <w:proofErr w:type="spellEnd"/>
          </w:p>
        </w:tc>
        <w:tc>
          <w:tcPr>
            <w:tcW w:w="1814" w:type="dxa"/>
          </w:tcPr>
          <w:p w14:paraId="0D65D219" w14:textId="5DEF8B5E" w:rsidR="00501A04" w:rsidRDefault="00501A04" w:rsidP="0047201D">
            <w:pPr>
              <w:spacing w:after="0" w:line="240" w:lineRule="auto"/>
              <w:jc w:val="center"/>
            </w:pPr>
            <w:r>
              <w:t>TAF 7</w:t>
            </w:r>
            <w:r>
              <w:br/>
            </w:r>
          </w:p>
        </w:tc>
      </w:tr>
    </w:tbl>
    <w:p w14:paraId="3FD2ADD2" w14:textId="77777777" w:rsidR="00E42D9F" w:rsidRDefault="00E42D9F" w:rsidP="0047201D">
      <w:pPr>
        <w:spacing w:after="0" w:line="240" w:lineRule="auto"/>
      </w:pPr>
    </w:p>
    <w:p w14:paraId="10632403" w14:textId="49C28098" w:rsidR="001D6304" w:rsidRDefault="001D6304" w:rsidP="0047201D">
      <w:pPr>
        <w:spacing w:after="0" w:line="240" w:lineRule="auto"/>
      </w:pPr>
    </w:p>
    <w:p w14:paraId="46694EF2" w14:textId="77777777" w:rsidR="00B75D9D" w:rsidRDefault="00B75D9D" w:rsidP="0047201D">
      <w:pPr>
        <w:spacing w:after="0" w:line="240" w:lineRule="auto"/>
      </w:pPr>
      <w:r>
        <w:t xml:space="preserve">Hinweis: </w:t>
      </w:r>
      <w:r w:rsidR="00EF215A">
        <w:t>Soweit Stromwandler an den Zählern vorhanden sind</w:t>
      </w:r>
      <w:r w:rsidR="00FE2BCF">
        <w:t>, werden</w:t>
      </w:r>
      <w:r w:rsidR="00EF215A">
        <w:t xml:space="preserve"> </w:t>
      </w:r>
      <w:proofErr w:type="spellStart"/>
      <w:r>
        <w:t>Wandlerfaktoren</w:t>
      </w:r>
      <w:proofErr w:type="spellEnd"/>
      <w:r>
        <w:t xml:space="preserve"> im Zählerstand oder</w:t>
      </w:r>
      <w:r w:rsidR="00EF215A">
        <w:t xml:space="preserve"> im </w:t>
      </w:r>
      <w:proofErr w:type="spellStart"/>
      <w:r w:rsidR="00EF215A">
        <w:t>Lastgang</w:t>
      </w:r>
      <w:proofErr w:type="spellEnd"/>
      <w:r w:rsidR="00EF215A">
        <w:t xml:space="preserve"> berücksichtigt.</w:t>
      </w:r>
      <w:r>
        <w:t xml:space="preserve"> </w:t>
      </w:r>
    </w:p>
    <w:p w14:paraId="51067B2C" w14:textId="282A8E46" w:rsidR="00301331" w:rsidRDefault="00301331" w:rsidP="0047201D">
      <w:pPr>
        <w:spacing w:after="0" w:line="240" w:lineRule="auto"/>
      </w:pPr>
      <w:r>
        <w:t xml:space="preserve">Nach § 56 </w:t>
      </w:r>
      <w:proofErr w:type="spellStart"/>
      <w:r>
        <w:t>MsbG</w:t>
      </w:r>
      <w:proofErr w:type="spellEnd"/>
      <w:r w:rsidR="00AF2607">
        <w:t xml:space="preserve"> </w:t>
      </w:r>
      <w:r>
        <w:t xml:space="preserve">kann der Messstellenbetreiber im Auftrag des Netzbetreibers in </w:t>
      </w:r>
      <w:r w:rsidR="00B8376B">
        <w:t>folgenden Fällen</w:t>
      </w:r>
      <w:r w:rsidR="00B94930">
        <w:t xml:space="preserve"> auch ohne Einwilligung des Betroffenen</w:t>
      </w:r>
      <w:r w:rsidR="00B8376B">
        <w:t xml:space="preserve"> </w:t>
      </w:r>
      <w:r w:rsidR="00B94930">
        <w:t>Netzzustandsdaten erheben</w:t>
      </w:r>
      <w:r w:rsidR="007808F5">
        <w:t>:</w:t>
      </w:r>
      <w:r>
        <w:t xml:space="preserve"> </w:t>
      </w:r>
    </w:p>
    <w:p w14:paraId="00B017FC" w14:textId="77777777" w:rsidR="00301331" w:rsidRDefault="00301331" w:rsidP="0047201D">
      <w:pPr>
        <w:spacing w:after="0" w:line="240" w:lineRule="auto"/>
        <w:ind w:left="708"/>
      </w:pPr>
      <w:r>
        <w:t xml:space="preserve">1. an Anlagen nach dem Erneuerbare-Energien-Gesetz und dem Kraft-Wärme-Kopplungsgesetz, </w:t>
      </w:r>
    </w:p>
    <w:p w14:paraId="7E94DF95" w14:textId="77777777" w:rsidR="00301331" w:rsidRDefault="00301331" w:rsidP="0047201D">
      <w:pPr>
        <w:spacing w:after="0" w:line="240" w:lineRule="auto"/>
        <w:ind w:left="708"/>
      </w:pPr>
      <w:r>
        <w:t xml:space="preserve">2. an </w:t>
      </w:r>
      <w:r w:rsidR="00B8376B">
        <w:t xml:space="preserve">steuerbaren </w:t>
      </w:r>
      <w:r>
        <w:t xml:space="preserve">Verbrauchseinrichtungen in Niederspannung nach § 14a des Energiewirtschaftsgesetzes </w:t>
      </w:r>
      <w:r w:rsidR="00B8376B">
        <w:t xml:space="preserve">und </w:t>
      </w:r>
    </w:p>
    <w:p w14:paraId="30524A72" w14:textId="77777777" w:rsidR="0062475A" w:rsidRDefault="00301331" w:rsidP="0047201D">
      <w:pPr>
        <w:spacing w:after="0" w:line="240" w:lineRule="auto"/>
        <w:ind w:left="708"/>
      </w:pPr>
      <w:r>
        <w:t>3. an Zählpunkten mit einem Jahresstromverbrauch von über 20 000 Kilowattstunden</w:t>
      </w:r>
    </w:p>
    <w:p w14:paraId="5FFECB68" w14:textId="38F09D0A" w:rsidR="00286C7B" w:rsidRDefault="0047201D" w:rsidP="0047201D">
      <w:pPr>
        <w:spacing w:after="0" w:line="240" w:lineRule="auto"/>
      </w:pPr>
      <w:r>
        <w:sym w:font="Wingdings 2" w:char="F054"/>
      </w:r>
      <w:r w:rsidR="00286C7B">
        <w:t xml:space="preserve"> Eine solche Erhebung von Netzzustandsdaten i</w:t>
      </w:r>
      <w:r w:rsidR="00DB6EB1">
        <w:t xml:space="preserve">m </w:t>
      </w:r>
      <w:r w:rsidR="00286C7B">
        <w:t>S</w:t>
      </w:r>
      <w:r w:rsidR="00DB6EB1">
        <w:t>inne des</w:t>
      </w:r>
      <w:r w:rsidR="00286C7B">
        <w:t xml:space="preserve"> § 56 </w:t>
      </w:r>
      <w:proofErr w:type="spellStart"/>
      <w:r w:rsidR="00286C7B">
        <w:t>MsbG</w:t>
      </w:r>
      <w:proofErr w:type="spellEnd"/>
      <w:r w:rsidR="00286C7B">
        <w:t xml:space="preserve"> findet an der fraglichen Messstelle </w:t>
      </w:r>
      <w:r w:rsidR="00286C7B" w:rsidRPr="0068183B">
        <w:rPr>
          <w:b/>
          <w:u w:val="single"/>
        </w:rPr>
        <w:t>nicht</w:t>
      </w:r>
      <w:r w:rsidR="00286C7B">
        <w:t xml:space="preserve"> statt. </w:t>
      </w:r>
    </w:p>
    <w:p w14:paraId="4CCE465F" w14:textId="322D163C" w:rsidR="000C5EED" w:rsidRDefault="00301331" w:rsidP="0047201D">
      <w:pPr>
        <w:spacing w:after="0" w:line="240" w:lineRule="auto"/>
      </w:pPr>
      <w:r>
        <w:sym w:font="Wingdings 2" w:char="F0A3"/>
      </w:r>
      <w:r>
        <w:t xml:space="preserve"> Eine </w:t>
      </w:r>
      <w:r w:rsidR="00286C7B">
        <w:t xml:space="preserve">solche </w:t>
      </w:r>
      <w:r>
        <w:t>Erhe</w:t>
      </w:r>
      <w:r w:rsidR="00DB6EB1">
        <w:t>bung von Netzzustandsdaten im Sinne</w:t>
      </w:r>
      <w:r>
        <w:t xml:space="preserve"> § 56 </w:t>
      </w:r>
      <w:proofErr w:type="spellStart"/>
      <w:r>
        <w:t>MsbG</w:t>
      </w:r>
      <w:proofErr w:type="spellEnd"/>
      <w:r>
        <w:t xml:space="preserve"> findet </w:t>
      </w:r>
      <w:r w:rsidR="00286C7B">
        <w:t xml:space="preserve">an der fraglichen Messstelle </w:t>
      </w:r>
      <w:r>
        <w:t xml:space="preserve">im Auftrag des Netzbetreibers zum Zwecke der laufenden Ermittlung des Netzzustands statt. </w:t>
      </w:r>
    </w:p>
    <w:p w14:paraId="4643B97E" w14:textId="2F30042C" w:rsidR="00B94930" w:rsidRDefault="00B94930" w:rsidP="0047201D">
      <w:pPr>
        <w:spacing w:after="0" w:line="240" w:lineRule="auto"/>
      </w:pPr>
      <w:r>
        <w:t>Im Übrigen ist eine Erhebung von Netzzustandsdaten ohne Einwilligung des Betroffenen nur zulässig, soweit es sich nicht um personenbezogene Daten handelt.</w:t>
      </w:r>
    </w:p>
    <w:p w14:paraId="206E9271" w14:textId="77777777" w:rsidR="00847B42" w:rsidRDefault="00847B42" w:rsidP="0047201D">
      <w:pPr>
        <w:spacing w:after="0" w:line="240" w:lineRule="auto"/>
      </w:pPr>
      <w:bookmarkStart w:id="0" w:name="_GoBack"/>
      <w:bookmarkEnd w:id="0"/>
    </w:p>
    <w:sectPr w:rsidR="00847B42" w:rsidSect="002C2FC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0C3E" w14:textId="77777777" w:rsidR="006854B9" w:rsidRDefault="006854B9" w:rsidP="00286C7B">
      <w:pPr>
        <w:spacing w:after="0" w:line="240" w:lineRule="auto"/>
      </w:pPr>
      <w:r>
        <w:separator/>
      </w:r>
    </w:p>
  </w:endnote>
  <w:endnote w:type="continuationSeparator" w:id="0">
    <w:p w14:paraId="6D735025" w14:textId="77777777" w:rsidR="006854B9" w:rsidRDefault="006854B9" w:rsidP="00286C7B">
      <w:pPr>
        <w:spacing w:after="0" w:line="240" w:lineRule="auto"/>
      </w:pPr>
      <w:r>
        <w:continuationSeparator/>
      </w:r>
    </w:p>
  </w:endnote>
  <w:endnote w:type="continuationNotice" w:id="1">
    <w:p w14:paraId="724084B8" w14:textId="77777777" w:rsidR="006854B9" w:rsidRDefault="00685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356814"/>
      <w:docPartObj>
        <w:docPartGallery w:val="Page Numbers (Bottom of Page)"/>
        <w:docPartUnique/>
      </w:docPartObj>
    </w:sdtPr>
    <w:sdtEndPr/>
    <w:sdtContent>
      <w:p w14:paraId="4F226953" w14:textId="649470CF" w:rsidR="00042D43" w:rsidRDefault="00042D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1D">
          <w:rPr>
            <w:noProof/>
          </w:rPr>
          <w:t>2</w:t>
        </w:r>
        <w:r>
          <w:fldChar w:fldCharType="end"/>
        </w:r>
      </w:p>
    </w:sdtContent>
  </w:sdt>
  <w:p w14:paraId="26798959" w14:textId="49760173" w:rsidR="00E7349A" w:rsidRDefault="00E73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AA5C" w14:textId="77777777" w:rsidR="006854B9" w:rsidRDefault="006854B9" w:rsidP="00286C7B">
      <w:pPr>
        <w:spacing w:after="0" w:line="240" w:lineRule="auto"/>
      </w:pPr>
      <w:r>
        <w:separator/>
      </w:r>
    </w:p>
  </w:footnote>
  <w:footnote w:type="continuationSeparator" w:id="0">
    <w:p w14:paraId="5C875559" w14:textId="77777777" w:rsidR="006854B9" w:rsidRDefault="006854B9" w:rsidP="00286C7B">
      <w:pPr>
        <w:spacing w:after="0" w:line="240" w:lineRule="auto"/>
      </w:pPr>
      <w:r>
        <w:continuationSeparator/>
      </w:r>
    </w:p>
  </w:footnote>
  <w:footnote w:type="continuationNotice" w:id="1">
    <w:p w14:paraId="54181B5E" w14:textId="77777777" w:rsidR="006854B9" w:rsidRDefault="006854B9">
      <w:pPr>
        <w:spacing w:after="0" w:line="240" w:lineRule="auto"/>
      </w:pPr>
    </w:p>
  </w:footnote>
  <w:footnote w:id="2">
    <w:p w14:paraId="28246C7E" w14:textId="76B8D37A" w:rsidR="00945823" w:rsidRDefault="00945823">
      <w:pPr>
        <w:pStyle w:val="Funotentext"/>
      </w:pPr>
      <w:r>
        <w:rPr>
          <w:rStyle w:val="Funotenzeichen"/>
        </w:rPr>
        <w:footnoteRef/>
      </w:r>
      <w:r>
        <w:t xml:space="preserve"> Hier sind nur die Zwecke angegeben, für die der Lieferant</w:t>
      </w:r>
      <w:r w:rsidR="00BB23A6">
        <w:t xml:space="preserve"> oder</w:t>
      </w:r>
      <w:r>
        <w:t xml:space="preserve"> </w:t>
      </w:r>
      <w:r w:rsidR="009E29BF">
        <w:t xml:space="preserve">der Messstellenbetreiber </w:t>
      </w:r>
      <w:r>
        <w:t xml:space="preserve">die Daten nutzt. Ob der Anschlussnutzer, dessen Daten erhoben werden, die Daten selbst für weitere Zwecke (z.B. </w:t>
      </w:r>
      <w:r w:rsidRPr="00945823">
        <w:t>K</w:t>
      </w:r>
      <w:r w:rsidR="00DB6EB1">
        <w:t>onzessionsabgaben</w:t>
      </w:r>
      <w:r w:rsidRPr="00945823">
        <w:t>-Einstufung (30 kW)</w:t>
      </w:r>
      <w:r>
        <w:t>) nutzt oder nutzen kann ist nicht Gegenstand des Datenblattes</w:t>
      </w:r>
      <w:r w:rsidR="00303256">
        <w:t>)</w:t>
      </w:r>
      <w:r>
        <w:t>.</w:t>
      </w:r>
    </w:p>
  </w:footnote>
  <w:footnote w:id="3">
    <w:p w14:paraId="1862DD04" w14:textId="1B7AD341" w:rsidR="00501A04" w:rsidRDefault="00501A04">
      <w:pPr>
        <w:pStyle w:val="Funotentext"/>
      </w:pPr>
      <w:r>
        <w:rPr>
          <w:rStyle w:val="Funotenzeichen"/>
        </w:rPr>
        <w:footnoteRef/>
      </w:r>
      <w:r>
        <w:t xml:space="preserve"> Nur für einspeisende Marktlokationen, die Strom aus Erneuerbaren Energien (EE-Anlagen) einspeisen; Werte beziehen sich auf die</w:t>
      </w:r>
      <w:r w:rsidR="00CC0FC6">
        <w:t xml:space="preserve"> Messlokation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8BE3" w14:textId="65842EC0" w:rsidR="00E7349A" w:rsidRDefault="00E73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DC25" w14:textId="1B026E8B" w:rsidR="00E7349A" w:rsidRPr="002238B3" w:rsidRDefault="002238B3" w:rsidP="002238B3">
    <w:pPr>
      <w:rPr>
        <w:b/>
      </w:rPr>
    </w:pPr>
    <w:r w:rsidRPr="002238B3">
      <w:rPr>
        <w:b/>
      </w:rPr>
      <w:t xml:space="preserve">Messstellenvertrag: Geplante Datenkommunikation Smart-Meter-Gateway nach § 54 </w:t>
    </w:r>
    <w:proofErr w:type="spellStart"/>
    <w:r w:rsidRPr="002238B3">
      <w:rPr>
        <w:b/>
      </w:rPr>
      <w:t>MsbG</w:t>
    </w:r>
    <w:proofErr w:type="spellEnd"/>
    <w:r w:rsidRPr="002238B3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D131" w14:textId="2AB4649A" w:rsidR="00E7349A" w:rsidRDefault="00E734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845"/>
    <w:multiLevelType w:val="hybridMultilevel"/>
    <w:tmpl w:val="B74C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439"/>
    <w:multiLevelType w:val="hybridMultilevel"/>
    <w:tmpl w:val="974A5B8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124FD"/>
    <w:multiLevelType w:val="hybridMultilevel"/>
    <w:tmpl w:val="249CE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18D9"/>
    <w:multiLevelType w:val="hybridMultilevel"/>
    <w:tmpl w:val="D4A8B7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2D1E7F"/>
    <w:multiLevelType w:val="hybridMultilevel"/>
    <w:tmpl w:val="36269C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2D24F1"/>
    <w:multiLevelType w:val="hybridMultilevel"/>
    <w:tmpl w:val="CBC26DB6"/>
    <w:lvl w:ilvl="0" w:tplc="E2EC02F4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C"/>
    <w:rsid w:val="0001229F"/>
    <w:rsid w:val="00041852"/>
    <w:rsid w:val="00042D43"/>
    <w:rsid w:val="00062910"/>
    <w:rsid w:val="00075D9F"/>
    <w:rsid w:val="0008308C"/>
    <w:rsid w:val="000A6D08"/>
    <w:rsid w:val="000C5EED"/>
    <w:rsid w:val="000D2131"/>
    <w:rsid w:val="00100DC4"/>
    <w:rsid w:val="001056CA"/>
    <w:rsid w:val="0011305B"/>
    <w:rsid w:val="001372F1"/>
    <w:rsid w:val="00157727"/>
    <w:rsid w:val="001734C7"/>
    <w:rsid w:val="0019253D"/>
    <w:rsid w:val="001D6304"/>
    <w:rsid w:val="001E320C"/>
    <w:rsid w:val="001F1DB2"/>
    <w:rsid w:val="0021312D"/>
    <w:rsid w:val="0021397C"/>
    <w:rsid w:val="002238B3"/>
    <w:rsid w:val="0024158B"/>
    <w:rsid w:val="00257414"/>
    <w:rsid w:val="00263B82"/>
    <w:rsid w:val="00286C7B"/>
    <w:rsid w:val="002A684F"/>
    <w:rsid w:val="002C2FCB"/>
    <w:rsid w:val="002F1B2D"/>
    <w:rsid w:val="00301331"/>
    <w:rsid w:val="00303256"/>
    <w:rsid w:val="00303EE9"/>
    <w:rsid w:val="00334D23"/>
    <w:rsid w:val="00362C10"/>
    <w:rsid w:val="00394593"/>
    <w:rsid w:val="0041153E"/>
    <w:rsid w:val="0045521D"/>
    <w:rsid w:val="0047201D"/>
    <w:rsid w:val="004748CF"/>
    <w:rsid w:val="00482E2D"/>
    <w:rsid w:val="004A21EE"/>
    <w:rsid w:val="004B3C57"/>
    <w:rsid w:val="004D0124"/>
    <w:rsid w:val="00501A04"/>
    <w:rsid w:val="00533C88"/>
    <w:rsid w:val="0054398E"/>
    <w:rsid w:val="0058105A"/>
    <w:rsid w:val="0059446C"/>
    <w:rsid w:val="005F1182"/>
    <w:rsid w:val="0062475A"/>
    <w:rsid w:val="00626DA0"/>
    <w:rsid w:val="00630DDA"/>
    <w:rsid w:val="0064134D"/>
    <w:rsid w:val="0064185F"/>
    <w:rsid w:val="006854B9"/>
    <w:rsid w:val="00697CB1"/>
    <w:rsid w:val="006A0EB9"/>
    <w:rsid w:val="006D3E7F"/>
    <w:rsid w:val="006D495C"/>
    <w:rsid w:val="006E2F5C"/>
    <w:rsid w:val="006F31C4"/>
    <w:rsid w:val="007063E5"/>
    <w:rsid w:val="00755E9D"/>
    <w:rsid w:val="00756BD3"/>
    <w:rsid w:val="007808F5"/>
    <w:rsid w:val="00782FEE"/>
    <w:rsid w:val="0079738C"/>
    <w:rsid w:val="007A0BFD"/>
    <w:rsid w:val="007C57C8"/>
    <w:rsid w:val="007E64E3"/>
    <w:rsid w:val="007E6C8A"/>
    <w:rsid w:val="007F3F4F"/>
    <w:rsid w:val="00802DAD"/>
    <w:rsid w:val="00821AF2"/>
    <w:rsid w:val="00823F56"/>
    <w:rsid w:val="00847B42"/>
    <w:rsid w:val="00863B79"/>
    <w:rsid w:val="00891933"/>
    <w:rsid w:val="008B1EA4"/>
    <w:rsid w:val="00915432"/>
    <w:rsid w:val="00945823"/>
    <w:rsid w:val="00954A7E"/>
    <w:rsid w:val="0095544A"/>
    <w:rsid w:val="00991DDE"/>
    <w:rsid w:val="009B0CF9"/>
    <w:rsid w:val="009D6FCA"/>
    <w:rsid w:val="009E23B4"/>
    <w:rsid w:val="009E29BF"/>
    <w:rsid w:val="00A03EAE"/>
    <w:rsid w:val="00A05FDF"/>
    <w:rsid w:val="00A12A3D"/>
    <w:rsid w:val="00A12B03"/>
    <w:rsid w:val="00A156F9"/>
    <w:rsid w:val="00A27FC8"/>
    <w:rsid w:val="00A318A8"/>
    <w:rsid w:val="00A32A64"/>
    <w:rsid w:val="00A77D59"/>
    <w:rsid w:val="00A86696"/>
    <w:rsid w:val="00AB55E0"/>
    <w:rsid w:val="00AF2607"/>
    <w:rsid w:val="00AF2718"/>
    <w:rsid w:val="00AF48A2"/>
    <w:rsid w:val="00B14356"/>
    <w:rsid w:val="00B75D9D"/>
    <w:rsid w:val="00B77C2E"/>
    <w:rsid w:val="00B8376B"/>
    <w:rsid w:val="00B94930"/>
    <w:rsid w:val="00BA55DD"/>
    <w:rsid w:val="00BB23A6"/>
    <w:rsid w:val="00BD1F01"/>
    <w:rsid w:val="00C35A0A"/>
    <w:rsid w:val="00C51037"/>
    <w:rsid w:val="00C96FAA"/>
    <w:rsid w:val="00CB55CB"/>
    <w:rsid w:val="00CC0FC6"/>
    <w:rsid w:val="00CD2DBB"/>
    <w:rsid w:val="00CE1F2D"/>
    <w:rsid w:val="00CF7AB9"/>
    <w:rsid w:val="00D26802"/>
    <w:rsid w:val="00D3687C"/>
    <w:rsid w:val="00D47379"/>
    <w:rsid w:val="00D506CE"/>
    <w:rsid w:val="00D968BC"/>
    <w:rsid w:val="00DB1D01"/>
    <w:rsid w:val="00DB6EB1"/>
    <w:rsid w:val="00DC6523"/>
    <w:rsid w:val="00DD364A"/>
    <w:rsid w:val="00DF1AF6"/>
    <w:rsid w:val="00E408C7"/>
    <w:rsid w:val="00E42D9F"/>
    <w:rsid w:val="00E5160E"/>
    <w:rsid w:val="00E6680B"/>
    <w:rsid w:val="00E7349A"/>
    <w:rsid w:val="00E81FEE"/>
    <w:rsid w:val="00E821A4"/>
    <w:rsid w:val="00E90054"/>
    <w:rsid w:val="00E9067A"/>
    <w:rsid w:val="00EC4DB9"/>
    <w:rsid w:val="00EE58D7"/>
    <w:rsid w:val="00EF122D"/>
    <w:rsid w:val="00EF215A"/>
    <w:rsid w:val="00F11BC7"/>
    <w:rsid w:val="00F225AF"/>
    <w:rsid w:val="00F35224"/>
    <w:rsid w:val="00F54F01"/>
    <w:rsid w:val="00F82C6D"/>
    <w:rsid w:val="00F833E9"/>
    <w:rsid w:val="00FA3293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D2119B"/>
  <w15:docId w15:val="{36B82C30-1846-4C98-AEA1-368C1DD6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3B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A2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E2B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BC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BC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B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2BC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2BC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6C7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6C7B"/>
  </w:style>
  <w:style w:type="character" w:styleId="Funotenzeichen">
    <w:name w:val="footnote reference"/>
    <w:uiPriority w:val="99"/>
    <w:semiHidden/>
    <w:unhideWhenUsed/>
    <w:rsid w:val="00286C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C88"/>
  </w:style>
  <w:style w:type="paragraph" w:styleId="Fuzeile">
    <w:name w:val="footer"/>
    <w:basedOn w:val="Standard"/>
    <w:link w:val="FuzeileZchn"/>
    <w:uiPriority w:val="99"/>
    <w:unhideWhenUsed/>
    <w:rsid w:val="0053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C88"/>
  </w:style>
  <w:style w:type="paragraph" w:styleId="Listenabsatz">
    <w:name w:val="List Paragraph"/>
    <w:basedOn w:val="Standard"/>
    <w:uiPriority w:val="34"/>
    <w:qFormat/>
    <w:rsid w:val="00E5160E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F3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A3B-43D0-4F41-96FB-BA0ADD8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A692CC9A</Template>
  <TotalTime>0</TotalTime>
  <Pages>2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Rolf</dc:creator>
  <cp:lastModifiedBy>Erhardt, Maren  ERSD-W-NV</cp:lastModifiedBy>
  <cp:revision>3</cp:revision>
  <cp:lastPrinted>2018-09-05T10:30:00Z</cp:lastPrinted>
  <dcterms:created xsi:type="dcterms:W3CDTF">2019-03-01T15:31:00Z</dcterms:created>
  <dcterms:modified xsi:type="dcterms:W3CDTF">2019-03-27T08:53:00Z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deeeb7-8f43-4893-b0c6-cd9ca02002eb_Enabled">
    <vt:lpwstr>True</vt:lpwstr>
  </property>
  <property fmtid="{D5CDD505-2E9C-101B-9397-08002B2CF9AE}" pid="3" name="MSIP_Label_12deeeb7-8f43-4893-b0c6-cd9ca02002eb_SiteId">
    <vt:lpwstr>f8be18a6-f648-4a47-be73-86d6c5c6604d</vt:lpwstr>
  </property>
  <property fmtid="{D5CDD505-2E9C-101B-9397-08002B2CF9AE}" pid="4" name="MSIP_Label_12deeeb7-8f43-4893-b0c6-cd9ca02002eb_Ref">
    <vt:lpwstr>https://api.informationprotection.azure.com/api/f8be18a6-f648-4a47-be73-86d6c5c6604d</vt:lpwstr>
  </property>
  <property fmtid="{D5CDD505-2E9C-101B-9397-08002B2CF9AE}" pid="5" name="MSIP_Label_12deeeb7-8f43-4893-b0c6-cd9ca02002eb_Owner">
    <vt:lpwstr>tseipt@eur.corp.vattenfall.com</vt:lpwstr>
  </property>
  <property fmtid="{D5CDD505-2E9C-101B-9397-08002B2CF9AE}" pid="6" name="MSIP_Label_12deeeb7-8f43-4893-b0c6-cd9ca02002eb_SetDate">
    <vt:lpwstr>2018-08-17T16:39:29.3137514+02:00</vt:lpwstr>
  </property>
  <property fmtid="{D5CDD505-2E9C-101B-9397-08002B2CF9AE}" pid="7" name="MSIP_Label_12deeeb7-8f43-4893-b0c6-cd9ca02002eb_Name">
    <vt:lpwstr>High - C3</vt:lpwstr>
  </property>
  <property fmtid="{D5CDD505-2E9C-101B-9397-08002B2CF9AE}" pid="8" name="MSIP_Label_12deeeb7-8f43-4893-b0c6-cd9ca02002eb_Application">
    <vt:lpwstr>Microsoft Azure Information Protection</vt:lpwstr>
  </property>
  <property fmtid="{D5CDD505-2E9C-101B-9397-08002B2CF9AE}" pid="9" name="MSIP_Label_12deeeb7-8f43-4893-b0c6-cd9ca02002eb_Extended_MSFT_Method">
    <vt:lpwstr>Automatic</vt:lpwstr>
  </property>
  <property fmtid="{D5CDD505-2E9C-101B-9397-08002B2CF9AE}" pid="10" name="Sensitivity">
    <vt:lpwstr>High - C3</vt:lpwstr>
  </property>
</Properties>
</file>